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C5" w:rsidRPr="009853C5" w:rsidRDefault="009853C5" w:rsidP="009853C5">
      <w:pPr>
        <w:rPr>
          <w:rFonts w:asciiTheme="majorHAnsi" w:hAnsiTheme="majorHAnsi"/>
          <w:b/>
          <w:bCs/>
          <w:sz w:val="24"/>
          <w:lang w:val="pl-PL"/>
        </w:rPr>
      </w:pPr>
      <w:r w:rsidRPr="009853C5">
        <w:rPr>
          <w:rFonts w:asciiTheme="majorHAnsi" w:hAnsiTheme="majorHAnsi"/>
          <w:b/>
          <w:bCs/>
          <w:sz w:val="24"/>
          <w:lang w:val="pl-PL"/>
        </w:rPr>
        <w:t>Nr postępowania: - MCM/SZ/12/2019</w:t>
      </w:r>
    </w:p>
    <w:p w:rsidR="009853C5" w:rsidRDefault="009853C5" w:rsidP="009853C5">
      <w:pPr>
        <w:rPr>
          <w:rFonts w:asciiTheme="majorHAnsi" w:hAnsiTheme="majorHAnsi"/>
          <w:b/>
          <w:bCs/>
          <w:sz w:val="32"/>
          <w:szCs w:val="32"/>
          <w:lang w:val="pl-PL"/>
        </w:rPr>
      </w:pPr>
    </w:p>
    <w:p w:rsidR="007F7334" w:rsidRPr="009853C5" w:rsidRDefault="0091280C" w:rsidP="0091280C">
      <w:pPr>
        <w:jc w:val="right"/>
        <w:rPr>
          <w:rFonts w:asciiTheme="majorHAnsi" w:hAnsiTheme="majorHAnsi"/>
          <w:b/>
          <w:bCs/>
          <w:sz w:val="24"/>
          <w:lang w:val="pl-PL"/>
        </w:rPr>
      </w:pPr>
      <w:r w:rsidRPr="009853C5">
        <w:rPr>
          <w:rFonts w:asciiTheme="majorHAnsi" w:hAnsiTheme="majorHAnsi"/>
          <w:b/>
          <w:bCs/>
          <w:sz w:val="24"/>
          <w:lang w:val="pl-PL"/>
        </w:rPr>
        <w:t>Załącznik Nr 1</w:t>
      </w:r>
    </w:p>
    <w:p w:rsidR="007F7334" w:rsidRPr="009853C5" w:rsidRDefault="007F7334" w:rsidP="0091280C">
      <w:pPr>
        <w:jc w:val="center"/>
        <w:rPr>
          <w:rFonts w:asciiTheme="majorHAnsi" w:hAnsiTheme="majorHAnsi"/>
          <w:b/>
          <w:bCs/>
          <w:sz w:val="24"/>
          <w:lang w:val="pl-PL"/>
        </w:rPr>
      </w:pPr>
      <w:r w:rsidRPr="009853C5">
        <w:rPr>
          <w:rFonts w:asciiTheme="majorHAnsi" w:hAnsiTheme="majorHAnsi"/>
          <w:b/>
          <w:bCs/>
          <w:sz w:val="24"/>
          <w:lang w:val="pl-PL"/>
        </w:rPr>
        <w:t>Szczegółowy opis przedmiotu zamówienia</w:t>
      </w:r>
    </w:p>
    <w:p w:rsidR="002C1C05" w:rsidRPr="009853C5" w:rsidRDefault="003F6533" w:rsidP="002E3DE1">
      <w:pPr>
        <w:rPr>
          <w:rFonts w:asciiTheme="majorHAnsi" w:hAnsiTheme="majorHAnsi"/>
          <w:b/>
          <w:bCs/>
          <w:sz w:val="24"/>
          <w:lang w:val="pl-PL"/>
        </w:rPr>
      </w:pPr>
      <w:r w:rsidRPr="009853C5">
        <w:rPr>
          <w:rFonts w:asciiTheme="majorHAnsi" w:hAnsiTheme="majorHAnsi"/>
          <w:b/>
          <w:bCs/>
          <w:sz w:val="24"/>
          <w:lang w:val="pl-PL"/>
        </w:rPr>
        <w:tab/>
      </w:r>
      <w:r w:rsidR="004A4C91" w:rsidRPr="009853C5">
        <w:rPr>
          <w:rFonts w:asciiTheme="majorHAnsi" w:hAnsiTheme="majorHAnsi"/>
          <w:b/>
          <w:bCs/>
          <w:sz w:val="24"/>
          <w:lang w:val="pl-PL"/>
        </w:rPr>
        <w:tab/>
      </w:r>
    </w:p>
    <w:p w:rsidR="002C1C05" w:rsidRPr="009853C5" w:rsidRDefault="001E2F88" w:rsidP="007F7334">
      <w:pPr>
        <w:jc w:val="center"/>
        <w:rPr>
          <w:rFonts w:asciiTheme="majorHAnsi" w:hAnsiTheme="majorHAnsi"/>
          <w:b/>
          <w:bCs/>
          <w:i/>
          <w:sz w:val="24"/>
          <w:lang w:val="pl-PL"/>
        </w:rPr>
      </w:pPr>
      <w:r w:rsidRPr="009853C5">
        <w:rPr>
          <w:rFonts w:asciiTheme="majorHAnsi" w:hAnsiTheme="majorHAnsi"/>
          <w:b/>
          <w:bCs/>
          <w:i/>
          <w:sz w:val="24"/>
          <w:lang w:val="pl-PL"/>
        </w:rPr>
        <w:t>Dostawa gazów medycznych wraz z dzierżawą butli i zbiornika płatna ryczałtowo</w:t>
      </w:r>
    </w:p>
    <w:p w:rsidR="002E3DE1" w:rsidRPr="003F6533" w:rsidRDefault="002E3DE1" w:rsidP="007F7334">
      <w:pPr>
        <w:jc w:val="both"/>
        <w:rPr>
          <w:rFonts w:asciiTheme="majorHAnsi" w:hAnsiTheme="majorHAnsi"/>
          <w:bCs/>
          <w:sz w:val="24"/>
          <w:lang w:val="pl-PL"/>
        </w:rPr>
      </w:pPr>
      <w:r w:rsidRPr="003F6533">
        <w:rPr>
          <w:rFonts w:asciiTheme="majorHAnsi" w:hAnsiTheme="majorHAnsi"/>
          <w:bCs/>
          <w:sz w:val="24"/>
          <w:lang w:val="pl-PL"/>
        </w:rPr>
        <w:t xml:space="preserve">Przedmiotem zamówienia są dostawy ciekłego tlenu medycznego wraz z dzierżawą zbiornika,  sprężonego tlenu medycznego </w:t>
      </w:r>
      <w:r w:rsidR="007F7334">
        <w:rPr>
          <w:rFonts w:asciiTheme="majorHAnsi" w:hAnsiTheme="majorHAnsi"/>
          <w:bCs/>
          <w:sz w:val="24"/>
          <w:lang w:val="pl-PL"/>
        </w:rPr>
        <w:t xml:space="preserve">i tlenu </w:t>
      </w:r>
      <w:r w:rsidRPr="003F6533">
        <w:rPr>
          <w:rFonts w:asciiTheme="majorHAnsi" w:hAnsiTheme="majorHAnsi"/>
          <w:bCs/>
          <w:sz w:val="24"/>
          <w:lang w:val="pl-PL"/>
        </w:rPr>
        <w:t>w butlach wraz z dzierżawą</w:t>
      </w:r>
      <w:r w:rsidR="009853C5">
        <w:rPr>
          <w:rFonts w:asciiTheme="majorHAnsi" w:hAnsiTheme="majorHAnsi"/>
          <w:bCs/>
          <w:sz w:val="24"/>
          <w:lang w:val="pl-PL"/>
        </w:rPr>
        <w:t xml:space="preserve"> butli</w:t>
      </w:r>
      <w:r w:rsidRPr="003F6533">
        <w:rPr>
          <w:rFonts w:asciiTheme="majorHAnsi" w:hAnsiTheme="majorHAnsi"/>
          <w:bCs/>
          <w:sz w:val="24"/>
          <w:lang w:val="pl-PL"/>
        </w:rPr>
        <w:t>, dwutlenku węgla wraz z dzierżawą butli, podtlenku azotu wraz z dzierżawą butli i mieszanki 50%O2/50%N2O wraz z dzierżawą butli i oprzyrządowania oraz przeglądy i konserwacje instalacji wewnętrznych gazów medycznych.</w:t>
      </w:r>
    </w:p>
    <w:p w:rsidR="002E3DE1" w:rsidRPr="002026C9" w:rsidRDefault="002E3DE1" w:rsidP="007F7334">
      <w:pPr>
        <w:jc w:val="both"/>
        <w:rPr>
          <w:bCs/>
          <w:sz w:val="24"/>
          <w:lang w:val="pl-PL"/>
        </w:rPr>
      </w:pPr>
    </w:p>
    <w:p w:rsidR="002E3DE1" w:rsidRPr="002026C9" w:rsidRDefault="002E3DE1" w:rsidP="002E3DE1">
      <w:pPr>
        <w:rPr>
          <w:b/>
          <w:bCs/>
          <w:sz w:val="24"/>
          <w:lang w:val="pl-PL"/>
        </w:rPr>
      </w:pPr>
      <w:r w:rsidRPr="002026C9">
        <w:rPr>
          <w:b/>
          <w:bCs/>
          <w:sz w:val="24"/>
          <w:lang w:val="pl-PL"/>
        </w:rPr>
        <w:t>Orientacy</w:t>
      </w:r>
      <w:r w:rsidR="001C4FC4">
        <w:rPr>
          <w:b/>
          <w:bCs/>
          <w:sz w:val="24"/>
          <w:lang w:val="pl-PL"/>
        </w:rPr>
        <w:t>jne zapotrze</w:t>
      </w:r>
      <w:r w:rsidR="007F7334">
        <w:rPr>
          <w:b/>
          <w:bCs/>
          <w:sz w:val="24"/>
          <w:lang w:val="pl-PL"/>
        </w:rPr>
        <w:t>bowanie w okresie 12</w:t>
      </w:r>
      <w:r w:rsidRPr="002026C9">
        <w:rPr>
          <w:b/>
          <w:bCs/>
          <w:sz w:val="24"/>
          <w:lang w:val="pl-PL"/>
        </w:rPr>
        <w:t xml:space="preserve"> miesięcy</w:t>
      </w:r>
      <w:r w:rsidR="009853C5">
        <w:rPr>
          <w:b/>
          <w:bCs/>
          <w:sz w:val="24"/>
          <w:lang w:val="pl-PL"/>
        </w:rPr>
        <w:t xml:space="preserve"> realizacji umowy:</w:t>
      </w:r>
    </w:p>
    <w:tbl>
      <w:tblPr>
        <w:tblW w:w="6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960"/>
        <w:gridCol w:w="1240"/>
        <w:gridCol w:w="1180"/>
      </w:tblGrid>
      <w:tr w:rsidR="002E3DE1" w:rsidTr="00D23C12">
        <w:trPr>
          <w:trHeight w:val="338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E3DE1" w:rsidRDefault="002E3DE1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E3DE1" w:rsidRDefault="002E3DE1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Nazwa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E3DE1" w:rsidRDefault="002E3DE1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ilość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E3DE1" w:rsidRDefault="002E3DE1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j.m</w:t>
            </w:r>
            <w:proofErr w:type="spellEnd"/>
            <w:r>
              <w:rPr>
                <w:rFonts w:cs="Arial"/>
                <w:szCs w:val="20"/>
                <w:lang w:eastAsia="pl-PL"/>
              </w:rPr>
              <w:t>.</w:t>
            </w:r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Pr="00D76352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D76352">
              <w:rPr>
                <w:rFonts w:cs="Arial"/>
                <w:szCs w:val="20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D76352" w:rsidRDefault="00517135" w:rsidP="00D23C12">
            <w:pPr>
              <w:spacing w:line="240" w:lineRule="auto"/>
              <w:rPr>
                <w:rFonts w:cs="Arial"/>
                <w:szCs w:val="20"/>
                <w:lang w:eastAsia="pl-PL"/>
              </w:rPr>
            </w:pPr>
            <w:proofErr w:type="spellStart"/>
            <w:r w:rsidRPr="00D76352">
              <w:rPr>
                <w:rFonts w:cs="Arial"/>
                <w:szCs w:val="20"/>
                <w:lang w:eastAsia="pl-PL"/>
              </w:rPr>
              <w:t>Tlen</w:t>
            </w:r>
            <w:proofErr w:type="spellEnd"/>
            <w:r w:rsidRPr="00D76352"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 w:rsidRPr="00D76352">
              <w:rPr>
                <w:rFonts w:cs="Arial"/>
                <w:szCs w:val="20"/>
                <w:lang w:eastAsia="pl-PL"/>
              </w:rPr>
              <w:t>medyczny</w:t>
            </w:r>
            <w:proofErr w:type="spellEnd"/>
            <w:r w:rsidRPr="00D76352"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 w:rsidRPr="00D76352">
              <w:rPr>
                <w:rFonts w:cs="Arial"/>
                <w:szCs w:val="20"/>
                <w:lang w:eastAsia="pl-PL"/>
              </w:rPr>
              <w:t>ciecz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517135">
              <w:rPr>
                <w:rFonts w:cs="Arial"/>
                <w:szCs w:val="20"/>
                <w:lang w:eastAsia="pl-PL"/>
              </w:rPr>
              <w:t>52 600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Pr="00D76352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D76352">
              <w:rPr>
                <w:rFonts w:cs="Arial"/>
                <w:szCs w:val="20"/>
                <w:lang w:eastAsia="pl-PL"/>
              </w:rPr>
              <w:t>kg</w:t>
            </w:r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625C3C" w:rsidRDefault="00517135" w:rsidP="00625C3C">
            <w:pPr>
              <w:spacing w:line="240" w:lineRule="auto"/>
              <w:rPr>
                <w:rFonts w:cs="Arial"/>
                <w:szCs w:val="20"/>
                <w:vertAlign w:val="superscript"/>
                <w:lang w:val="pl-PL" w:eastAsia="pl-PL"/>
              </w:rPr>
            </w:pPr>
            <w:r>
              <w:rPr>
                <w:rFonts w:cs="Arial"/>
                <w:szCs w:val="20"/>
                <w:lang w:val="pl-PL" w:eastAsia="pl-PL"/>
              </w:rPr>
              <w:t>Tlen medyczny butla aluminiowa 200 bar z reduktorem zintegrowanym</w:t>
            </w:r>
            <w:r w:rsidRPr="00621351">
              <w:rPr>
                <w:rFonts w:cs="Arial"/>
                <w:szCs w:val="20"/>
                <w:lang w:val="pl-PL" w:eastAsia="pl-PL"/>
              </w:rPr>
              <w:t xml:space="preserve">  2 l</w:t>
            </w:r>
            <w:r>
              <w:rPr>
                <w:rFonts w:cs="Arial"/>
                <w:szCs w:val="20"/>
                <w:lang w:val="pl-PL" w:eastAsia="pl-PL"/>
              </w:rPr>
              <w:t xml:space="preserve"> </w:t>
            </w:r>
            <w:r w:rsidRPr="00621351">
              <w:rPr>
                <w:rFonts w:cs="Arial"/>
                <w:szCs w:val="20"/>
                <w:lang w:val="pl-PL" w:eastAsia="pl-PL"/>
              </w:rPr>
              <w:t xml:space="preserve"> butla 0,43 </w:t>
            </w:r>
            <w:r>
              <w:rPr>
                <w:rFonts w:cs="Arial"/>
                <w:szCs w:val="20"/>
                <w:lang w:val="pl-PL" w:eastAsia="pl-PL"/>
              </w:rPr>
              <w:t>m</w:t>
            </w:r>
            <w:r>
              <w:rPr>
                <w:rFonts w:cs="Arial"/>
                <w:szCs w:val="20"/>
                <w:vertAlign w:val="superscript"/>
                <w:lang w:val="pl-PL"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D23C12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135" w:rsidRPr="00D76352" w:rsidRDefault="00517135" w:rsidP="003F2FB5">
            <w:pPr>
              <w:spacing w:line="240" w:lineRule="auto"/>
              <w:rPr>
                <w:rFonts w:cs="Arial"/>
                <w:szCs w:val="20"/>
                <w:vertAlign w:val="superscript"/>
                <w:lang w:val="pl-PL" w:eastAsia="pl-PL"/>
              </w:rPr>
            </w:pPr>
            <w:r w:rsidRPr="00D76352">
              <w:rPr>
                <w:rFonts w:cs="Arial"/>
                <w:szCs w:val="20"/>
                <w:lang w:val="pl-PL" w:eastAsia="pl-PL"/>
              </w:rPr>
              <w:t>Tlen medyczny  2 l  butla 0,</w:t>
            </w:r>
            <w:r>
              <w:rPr>
                <w:rFonts w:cs="Arial"/>
                <w:szCs w:val="20"/>
                <w:lang w:val="pl-PL" w:eastAsia="pl-PL"/>
              </w:rPr>
              <w:t>3</w:t>
            </w:r>
            <w:r w:rsidRPr="00D76352">
              <w:rPr>
                <w:rFonts w:cs="Arial"/>
                <w:szCs w:val="20"/>
                <w:lang w:val="pl-PL" w:eastAsia="pl-PL"/>
              </w:rPr>
              <w:t xml:space="preserve"> m</w:t>
            </w:r>
            <w:r>
              <w:rPr>
                <w:rFonts w:cs="Arial"/>
                <w:szCs w:val="20"/>
                <w:vertAlign w:val="superscript"/>
                <w:lang w:val="pl-PL"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D76352" w:rsidRDefault="00517135" w:rsidP="00D76352">
            <w:pPr>
              <w:spacing w:line="240" w:lineRule="auto"/>
              <w:rPr>
                <w:rFonts w:cs="Arial"/>
                <w:szCs w:val="20"/>
                <w:vertAlign w:val="superscript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Tlen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medyczny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butla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1,6 m</w:t>
            </w:r>
            <w:r>
              <w:rPr>
                <w:rFonts w:cs="Arial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D76352" w:rsidRDefault="00517135" w:rsidP="00D23C12">
            <w:pPr>
              <w:spacing w:line="240" w:lineRule="auto"/>
              <w:rPr>
                <w:rFonts w:cs="Arial"/>
                <w:szCs w:val="20"/>
                <w:vertAlign w:val="superscript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Tlen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medyczny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butla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6,4 m</w:t>
            </w:r>
            <w:r>
              <w:rPr>
                <w:rFonts w:cs="Arial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C54605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Default="00517135" w:rsidP="00D23C12">
            <w:pPr>
              <w:spacing w:line="240" w:lineRule="auto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Podtlenek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azotu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 </w:t>
            </w:r>
            <w:proofErr w:type="spellStart"/>
            <w:r>
              <w:rPr>
                <w:rFonts w:cs="Arial"/>
                <w:szCs w:val="20"/>
                <w:lang w:eastAsia="pl-PL"/>
              </w:rPr>
              <w:t>butla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7kg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Default="00517135" w:rsidP="00D23C12">
            <w:pPr>
              <w:spacing w:line="240" w:lineRule="auto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Podtlenek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azotu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 </w:t>
            </w:r>
            <w:proofErr w:type="spellStart"/>
            <w:r>
              <w:rPr>
                <w:rFonts w:cs="Arial"/>
                <w:szCs w:val="20"/>
                <w:lang w:eastAsia="pl-PL"/>
              </w:rPr>
              <w:t>butla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28kg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51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C54605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8 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625C3C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625C3C">
              <w:rPr>
                <w:rFonts w:cs="Arial"/>
                <w:szCs w:val="20"/>
                <w:lang w:val="pl-PL" w:eastAsia="pl-PL"/>
              </w:rPr>
              <w:t>Dwutlenek węgla med. do laparoskopii butla 7,5kg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54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C54605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625C3C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625C3C">
              <w:rPr>
                <w:rFonts w:cs="Arial"/>
                <w:szCs w:val="20"/>
                <w:lang w:val="pl-PL" w:eastAsia="pl-PL"/>
              </w:rPr>
              <w:t>Dwutlenek węgla med. do laparoskopii butla 26kg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625C3C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625C3C">
              <w:rPr>
                <w:rFonts w:cs="Arial"/>
                <w:szCs w:val="20"/>
                <w:lang w:val="pl-PL" w:eastAsia="pl-PL"/>
              </w:rPr>
              <w:t>Mieszanina tlen/podtlenek azotu 50%/50%  butla 2,8m3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szt</w:t>
            </w:r>
            <w:proofErr w:type="spellEnd"/>
          </w:p>
        </w:tc>
      </w:tr>
      <w:tr w:rsidR="00517135" w:rsidTr="00D23C12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135" w:rsidRPr="00C54605" w:rsidRDefault="00517135" w:rsidP="00473B07">
            <w:pPr>
              <w:rPr>
                <w:rFonts w:ascii="Tahoma" w:hAnsi="Tahoma" w:cs="Tahoma"/>
                <w:lang w:val="pl-PL"/>
              </w:rPr>
            </w:pPr>
            <w:r w:rsidRPr="00C54605">
              <w:rPr>
                <w:rFonts w:ascii="Tahoma" w:hAnsi="Tahoma" w:cs="Tahoma"/>
                <w:lang w:val="pl-PL"/>
              </w:rPr>
              <w:t>Jednorazowy zawór wydechowy z ustnikiem do podawania mieszaniny tlen/podtlenek azotu 50%/50%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9123C6" w:rsidRDefault="00517135" w:rsidP="00473B0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9123C6" w:rsidRDefault="00517135" w:rsidP="00473B0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A2694F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625C3C">
              <w:rPr>
                <w:rFonts w:cs="Arial"/>
                <w:szCs w:val="20"/>
                <w:lang w:val="pl-PL" w:eastAsia="pl-PL"/>
              </w:rPr>
              <w:t>Dzierżawa zawór dozujący do butli z Lp. 9  - 1 sztuka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butlo</w:t>
            </w:r>
            <w:proofErr w:type="spellEnd"/>
            <w:r>
              <w:rPr>
                <w:rFonts w:cs="Arial"/>
                <w:szCs w:val="20"/>
                <w:lang w:eastAsia="pl-PL"/>
              </w:rPr>
              <w:t>/</w:t>
            </w:r>
            <w:proofErr w:type="spellStart"/>
            <w:r>
              <w:rPr>
                <w:rFonts w:cs="Arial"/>
                <w:szCs w:val="20"/>
                <w:lang w:eastAsia="pl-PL"/>
              </w:rPr>
              <w:t>doba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 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135" w:rsidRPr="002026C9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C54605">
              <w:rPr>
                <w:rFonts w:cs="Arial"/>
                <w:szCs w:val="20"/>
                <w:lang w:val="pl-PL" w:eastAsia="pl-PL"/>
              </w:rPr>
              <w:t>Dzierżawa stojak na butlę z Lp. 9   1 sztuka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butlo</w:t>
            </w:r>
            <w:proofErr w:type="spellEnd"/>
            <w:r>
              <w:rPr>
                <w:rFonts w:cs="Arial"/>
                <w:szCs w:val="20"/>
                <w:lang w:eastAsia="pl-PL"/>
              </w:rPr>
              <w:t>/</w:t>
            </w:r>
            <w:proofErr w:type="spellStart"/>
            <w:r>
              <w:rPr>
                <w:rFonts w:cs="Arial"/>
                <w:szCs w:val="20"/>
                <w:lang w:eastAsia="pl-PL"/>
              </w:rPr>
              <w:t>doba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C54605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625C3C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625C3C">
              <w:rPr>
                <w:rFonts w:cs="Arial"/>
                <w:szCs w:val="20"/>
                <w:lang w:val="pl-PL" w:eastAsia="pl-PL"/>
              </w:rPr>
              <w:t>Dzierżawa butli z Lp. 9  - 2 sztuki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butlo</w:t>
            </w:r>
            <w:proofErr w:type="spellEnd"/>
            <w:r>
              <w:rPr>
                <w:rFonts w:cs="Arial"/>
                <w:szCs w:val="20"/>
                <w:lang w:eastAsia="pl-PL"/>
              </w:rPr>
              <w:t>/</w:t>
            </w:r>
            <w:proofErr w:type="spellStart"/>
            <w:r>
              <w:rPr>
                <w:rFonts w:cs="Arial"/>
                <w:szCs w:val="20"/>
                <w:lang w:eastAsia="pl-PL"/>
              </w:rPr>
              <w:t>doba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713A79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 xml:space="preserve">'CZYNSZ -  BUTLE  </w:t>
            </w:r>
            <w:proofErr w:type="spellStart"/>
            <w:r w:rsidRPr="00713A79">
              <w:rPr>
                <w:rFonts w:cs="Arial"/>
                <w:szCs w:val="20"/>
                <w:lang w:val="pl-PL" w:eastAsia="pl-PL"/>
              </w:rPr>
              <w:t>podtl.azotu</w:t>
            </w:r>
            <w:proofErr w:type="spellEnd"/>
            <w:r w:rsidRPr="00713A79">
              <w:rPr>
                <w:rFonts w:cs="Arial"/>
                <w:szCs w:val="20"/>
                <w:lang w:val="pl-PL" w:eastAsia="pl-PL"/>
              </w:rPr>
              <w:t xml:space="preserve">  20 </w:t>
            </w:r>
            <w:proofErr w:type="spellStart"/>
            <w:r w:rsidRPr="00713A79">
              <w:rPr>
                <w:rFonts w:cs="Arial"/>
                <w:szCs w:val="20"/>
                <w:lang w:val="pl-PL" w:eastAsia="pl-PL"/>
              </w:rPr>
              <w:t>szt</w:t>
            </w:r>
            <w:proofErr w:type="spellEnd"/>
            <w:r w:rsidRPr="00713A79">
              <w:rPr>
                <w:rFonts w:cs="Arial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7 300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butlo</w:t>
            </w:r>
            <w:proofErr w:type="spellEnd"/>
            <w:r>
              <w:rPr>
                <w:rFonts w:cs="Arial"/>
                <w:szCs w:val="20"/>
                <w:lang w:eastAsia="pl-PL"/>
              </w:rPr>
              <w:t>/</w:t>
            </w:r>
            <w:proofErr w:type="spellStart"/>
            <w:r>
              <w:rPr>
                <w:rFonts w:cs="Arial"/>
                <w:szCs w:val="20"/>
                <w:lang w:eastAsia="pl-PL"/>
              </w:rPr>
              <w:t>doba</w:t>
            </w:r>
            <w:proofErr w:type="spellEnd"/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C5460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C54605">
              <w:rPr>
                <w:rFonts w:cs="Arial"/>
                <w:szCs w:val="20"/>
                <w:lang w:eastAsia="pl-PL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713A79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 xml:space="preserve">CZYNSZ -  BUTLE tlen medyczny 30 </w:t>
            </w:r>
            <w:proofErr w:type="spellStart"/>
            <w:r w:rsidRPr="00713A79">
              <w:rPr>
                <w:rFonts w:cs="Arial"/>
                <w:szCs w:val="20"/>
                <w:lang w:val="pl-PL"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10950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butlo</w:t>
            </w:r>
            <w:proofErr w:type="spellEnd"/>
            <w:r>
              <w:rPr>
                <w:rFonts w:cs="Arial"/>
                <w:szCs w:val="20"/>
                <w:lang w:eastAsia="pl-PL"/>
              </w:rPr>
              <w:t>/</w:t>
            </w:r>
            <w:proofErr w:type="spellStart"/>
            <w:r>
              <w:rPr>
                <w:rFonts w:cs="Arial"/>
                <w:szCs w:val="20"/>
                <w:lang w:eastAsia="pl-PL"/>
              </w:rPr>
              <w:t>doba</w:t>
            </w:r>
            <w:proofErr w:type="spellEnd"/>
          </w:p>
        </w:tc>
      </w:tr>
      <w:tr w:rsidR="00517135" w:rsidRPr="00713A79" w:rsidTr="00517135">
        <w:trPr>
          <w:trHeight w:val="51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C5460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C54605">
              <w:rPr>
                <w:rFonts w:cs="Arial"/>
                <w:szCs w:val="20"/>
                <w:lang w:eastAsia="pl-PL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2026C9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2026C9">
              <w:rPr>
                <w:rFonts w:cs="Arial"/>
                <w:szCs w:val="20"/>
                <w:lang w:val="pl-PL" w:eastAsia="pl-PL"/>
              </w:rPr>
              <w:t>CZYNSZ BUTLE DWUTLENEK WĘGLA MED.</w:t>
            </w:r>
            <w:r>
              <w:rPr>
                <w:rFonts w:cs="Arial"/>
                <w:szCs w:val="20"/>
                <w:lang w:val="pl-PL" w:eastAsia="pl-PL"/>
              </w:rPr>
              <w:t xml:space="preserve"> 5 szt.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713A79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>
              <w:rPr>
                <w:rFonts w:cs="Arial"/>
                <w:szCs w:val="20"/>
                <w:lang w:val="pl-PL" w:eastAsia="pl-PL"/>
              </w:rPr>
              <w:t>1 825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Pr="00713A79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>butlo/doba</w:t>
            </w:r>
          </w:p>
        </w:tc>
      </w:tr>
      <w:tr w:rsidR="00517135" w:rsidRPr="00713A79" w:rsidTr="00517135">
        <w:trPr>
          <w:trHeight w:val="51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C5460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C54605">
              <w:rPr>
                <w:rFonts w:cs="Arial"/>
                <w:szCs w:val="20"/>
                <w:lang w:eastAsia="pl-PL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D76352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D76352">
              <w:rPr>
                <w:rFonts w:cs="Arial"/>
                <w:szCs w:val="20"/>
                <w:lang w:val="pl-PL" w:eastAsia="pl-PL"/>
              </w:rPr>
              <w:t xml:space="preserve">Dzierżawa butli gazy </w:t>
            </w:r>
            <w:proofErr w:type="spellStart"/>
            <w:r w:rsidRPr="00D76352">
              <w:rPr>
                <w:rFonts w:cs="Arial"/>
                <w:szCs w:val="20"/>
                <w:lang w:val="pl-PL" w:eastAsia="pl-PL"/>
              </w:rPr>
              <w:t>med.zawór</w:t>
            </w:r>
            <w:proofErr w:type="spellEnd"/>
            <w:r w:rsidRPr="00D76352">
              <w:rPr>
                <w:rFonts w:cs="Arial"/>
                <w:szCs w:val="20"/>
                <w:lang w:val="pl-PL" w:eastAsia="pl-PL"/>
              </w:rPr>
              <w:t xml:space="preserve"> zintegrowany 17 </w:t>
            </w:r>
            <w:proofErr w:type="spellStart"/>
            <w:r w:rsidRPr="00D76352">
              <w:rPr>
                <w:rFonts w:cs="Arial"/>
                <w:szCs w:val="20"/>
                <w:lang w:val="pl-PL"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953C47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highlight w:val="yellow"/>
                <w:lang w:val="pl-PL" w:eastAsia="pl-PL"/>
              </w:rPr>
            </w:pPr>
            <w:r w:rsidRPr="00517135">
              <w:rPr>
                <w:rFonts w:cs="Arial"/>
                <w:szCs w:val="20"/>
                <w:lang w:val="pl-PL" w:eastAsia="pl-PL"/>
              </w:rPr>
              <w:t>6 205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Pr="00D76352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 w:rsidRPr="00D76352">
              <w:rPr>
                <w:rFonts w:cs="Arial"/>
                <w:szCs w:val="20"/>
                <w:lang w:val="pl-PL" w:eastAsia="pl-PL"/>
              </w:rPr>
              <w:t>butlo/doba</w:t>
            </w:r>
          </w:p>
        </w:tc>
      </w:tr>
      <w:tr w:rsidR="00517135" w:rsidRPr="00713A79" w:rsidTr="00D23C12">
        <w:trPr>
          <w:trHeight w:val="51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C5460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C54605">
              <w:rPr>
                <w:rFonts w:cs="Arial"/>
                <w:szCs w:val="20"/>
                <w:lang w:eastAsia="pl-PL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135" w:rsidRPr="002026C9" w:rsidRDefault="00517135" w:rsidP="00625C3C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2026C9">
              <w:rPr>
                <w:rFonts w:cs="Arial"/>
                <w:szCs w:val="20"/>
                <w:lang w:val="pl-PL" w:eastAsia="pl-PL"/>
              </w:rPr>
              <w:t>Dzier</w:t>
            </w:r>
            <w:r>
              <w:rPr>
                <w:rFonts w:cs="Arial"/>
                <w:szCs w:val="20"/>
                <w:lang w:val="pl-PL" w:eastAsia="pl-PL"/>
              </w:rPr>
              <w:t>ż</w:t>
            </w:r>
            <w:r w:rsidRPr="002026C9">
              <w:rPr>
                <w:rFonts w:cs="Arial"/>
                <w:szCs w:val="20"/>
                <w:lang w:val="pl-PL" w:eastAsia="pl-PL"/>
              </w:rPr>
              <w:t>awa</w:t>
            </w:r>
            <w:r>
              <w:rPr>
                <w:rFonts w:cs="Arial"/>
                <w:szCs w:val="20"/>
                <w:lang w:val="pl-PL" w:eastAsia="pl-PL"/>
              </w:rPr>
              <w:t xml:space="preserve"> nosidła do butli z zaworem zintegrowanym 1 szt.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>
              <w:rPr>
                <w:rFonts w:cs="Arial"/>
                <w:szCs w:val="20"/>
                <w:lang w:val="pl-PL" w:eastAsia="pl-PL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713A79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>butlo/doba</w:t>
            </w:r>
          </w:p>
        </w:tc>
      </w:tr>
      <w:tr w:rsidR="00517135" w:rsidRPr="00713A79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C54605" w:rsidRDefault="00517135" w:rsidP="00473B07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C54605">
              <w:rPr>
                <w:rFonts w:cs="Arial"/>
                <w:szCs w:val="20"/>
                <w:lang w:eastAsia="pl-PL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135" w:rsidRPr="00713A79" w:rsidRDefault="00517135" w:rsidP="00D23C12">
            <w:pPr>
              <w:spacing w:line="240" w:lineRule="auto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>Dzierżawa zbiornika 3 ton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135" w:rsidRPr="00713A79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Pr="00713A79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val="pl-PL" w:eastAsia="pl-PL"/>
              </w:rPr>
            </w:pPr>
            <w:r w:rsidRPr="00713A79">
              <w:rPr>
                <w:rFonts w:cs="Arial"/>
                <w:szCs w:val="20"/>
                <w:lang w:val="pl-PL" w:eastAsia="pl-PL"/>
              </w:rPr>
              <w:t>miesiąc</w:t>
            </w:r>
          </w:p>
        </w:tc>
      </w:tr>
      <w:tr w:rsidR="00517135" w:rsidTr="00517135">
        <w:trPr>
          <w:trHeight w:val="338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7135" w:rsidRPr="00C5460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 w:rsidRPr="00C54605">
              <w:rPr>
                <w:rFonts w:cs="Arial"/>
                <w:szCs w:val="20"/>
                <w:lang w:eastAsia="pl-PL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17135" w:rsidRDefault="00517135" w:rsidP="00D23C12">
            <w:pPr>
              <w:spacing w:line="240" w:lineRule="auto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Przegląd</w:t>
            </w:r>
            <w:proofErr w:type="spellEnd"/>
            <w:r>
              <w:rPr>
                <w:rFonts w:cs="Arial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pl-PL"/>
              </w:rPr>
              <w:t>instalacji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17135" w:rsidRDefault="00517135" w:rsidP="009D2EB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7135" w:rsidRDefault="00517135" w:rsidP="00D23C12">
            <w:pPr>
              <w:spacing w:line="240" w:lineRule="auto"/>
              <w:jc w:val="center"/>
              <w:rPr>
                <w:rFonts w:cs="Arial"/>
                <w:szCs w:val="20"/>
                <w:lang w:eastAsia="pl-PL"/>
              </w:rPr>
            </w:pPr>
            <w:proofErr w:type="spellStart"/>
            <w:r>
              <w:rPr>
                <w:rFonts w:cs="Arial"/>
                <w:szCs w:val="20"/>
                <w:lang w:eastAsia="pl-PL"/>
              </w:rPr>
              <w:t>pkt</w:t>
            </w:r>
            <w:proofErr w:type="spellEnd"/>
          </w:p>
        </w:tc>
      </w:tr>
    </w:tbl>
    <w:p w:rsidR="002E3DE1" w:rsidRDefault="002E3DE1" w:rsidP="002E3DE1">
      <w:pPr>
        <w:rPr>
          <w:b/>
          <w:bCs/>
          <w:sz w:val="24"/>
          <w:lang w:eastAsia="en-US"/>
        </w:rPr>
      </w:pPr>
    </w:p>
    <w:p w:rsidR="002E3DE1" w:rsidRPr="00A2694F" w:rsidRDefault="002E3DE1" w:rsidP="002E3DE1">
      <w:pPr>
        <w:rPr>
          <w:b/>
          <w:bCs/>
          <w:sz w:val="24"/>
          <w:lang w:val="pl-PL" w:eastAsia="en-US"/>
        </w:rPr>
      </w:pPr>
    </w:p>
    <w:p w:rsidR="002E3DE1" w:rsidRPr="003F6533" w:rsidRDefault="002E3DE1" w:rsidP="002E3DE1">
      <w:pPr>
        <w:autoSpaceDE w:val="0"/>
        <w:autoSpaceDN w:val="0"/>
        <w:adjustRightInd w:val="0"/>
        <w:spacing w:line="240" w:lineRule="auto"/>
        <w:rPr>
          <w:rFonts w:asciiTheme="majorHAnsi" w:hAnsiTheme="majorHAnsi" w:cs="LindeDaxOffice"/>
          <w:b/>
          <w:sz w:val="24"/>
          <w:lang w:val="pl-PL"/>
        </w:rPr>
      </w:pPr>
      <w:r w:rsidRPr="003F6533">
        <w:rPr>
          <w:rFonts w:asciiTheme="majorHAnsi" w:hAnsiTheme="majorHAnsi" w:cs="LindeDaxOffice"/>
          <w:b/>
          <w:sz w:val="24"/>
          <w:lang w:val="pl-PL"/>
        </w:rPr>
        <w:t>Dostawa do klienta do 2 dni roboczych.</w:t>
      </w:r>
    </w:p>
    <w:p w:rsidR="002E3DE1" w:rsidRPr="003F6533" w:rsidRDefault="002E3DE1" w:rsidP="002E3DE1">
      <w:pPr>
        <w:pStyle w:val="Default"/>
        <w:jc w:val="both"/>
        <w:rPr>
          <w:rFonts w:asciiTheme="majorHAnsi" w:hAnsiTheme="majorHAnsi"/>
          <w:b/>
        </w:rPr>
      </w:pPr>
      <w:r w:rsidRPr="003F6533">
        <w:rPr>
          <w:rFonts w:asciiTheme="majorHAnsi" w:hAnsiTheme="majorHAnsi" w:cs="LindeDaxOffice"/>
          <w:b/>
        </w:rPr>
        <w:lastRenderedPageBreak/>
        <w:t>Termin płatności: przelew</w:t>
      </w:r>
      <w:r w:rsidR="001E2F88">
        <w:rPr>
          <w:rFonts w:asciiTheme="majorHAnsi" w:hAnsiTheme="majorHAnsi" w:cs="LindeDaxOffice"/>
          <w:b/>
        </w:rPr>
        <w:t xml:space="preserve"> minimum</w:t>
      </w:r>
      <w:r w:rsidRPr="003F6533">
        <w:rPr>
          <w:rFonts w:asciiTheme="majorHAnsi" w:hAnsiTheme="majorHAnsi" w:cs="LindeDaxOffice"/>
          <w:b/>
        </w:rPr>
        <w:t xml:space="preserve"> </w:t>
      </w:r>
      <w:r w:rsidR="001E2F88">
        <w:rPr>
          <w:rFonts w:asciiTheme="majorHAnsi" w:hAnsiTheme="majorHAnsi" w:cs="LindeDaxOffice"/>
          <w:b/>
        </w:rPr>
        <w:t>3</w:t>
      </w:r>
      <w:r w:rsidRPr="003F6533">
        <w:rPr>
          <w:rFonts w:asciiTheme="majorHAnsi" w:hAnsiTheme="majorHAnsi" w:cs="LindeDaxOffice"/>
          <w:b/>
        </w:rPr>
        <w:t xml:space="preserve">0 dni od daty </w:t>
      </w:r>
      <w:r w:rsidR="007F7334">
        <w:rPr>
          <w:rFonts w:asciiTheme="majorHAnsi" w:hAnsiTheme="majorHAnsi" w:cs="LindeDaxOffice"/>
          <w:b/>
        </w:rPr>
        <w:t>dostarczenia</w:t>
      </w:r>
      <w:r w:rsidRPr="003F6533">
        <w:rPr>
          <w:rFonts w:asciiTheme="majorHAnsi" w:hAnsiTheme="majorHAnsi" w:cs="LindeDaxOffice"/>
          <w:b/>
        </w:rPr>
        <w:t xml:space="preserve"> faktury.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color w:val="000000"/>
          <w:sz w:val="24"/>
          <w:lang w:val="pl-PL" w:eastAsia="en-US"/>
        </w:rPr>
      </w:pPr>
      <w:r w:rsidRPr="007F7334"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  <w:t>I.</w:t>
      </w:r>
      <w:r w:rsidRPr="003F6533">
        <w:rPr>
          <w:rFonts w:asciiTheme="majorHAnsi" w:eastAsia="Calibri" w:hAnsiTheme="majorHAnsi" w:cs="Tahoma"/>
          <w:color w:val="000000"/>
          <w:sz w:val="24"/>
          <w:lang w:val="pl-PL" w:eastAsia="en-US"/>
        </w:rPr>
        <w:t xml:space="preserve"> Wykonawca zobowiązany jest do wykonywania usług serwisowych instalacji gazów medycznych obejmujących: 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color w:val="000000"/>
          <w:sz w:val="24"/>
          <w:lang w:val="pl-PL" w:eastAsia="en-US"/>
        </w:rPr>
      </w:pPr>
      <w:r w:rsidRPr="003F6533">
        <w:rPr>
          <w:rFonts w:asciiTheme="majorHAnsi" w:eastAsia="Calibri" w:hAnsiTheme="majorHAnsi" w:cs="Tahoma"/>
          <w:color w:val="000000"/>
          <w:sz w:val="24"/>
          <w:lang w:val="pl-PL" w:eastAsia="en-US"/>
        </w:rPr>
        <w:t xml:space="preserve">1) </w:t>
      </w:r>
      <w:r w:rsidRPr="003F6533">
        <w:rPr>
          <w:rFonts w:asciiTheme="majorHAnsi" w:eastAsia="Calibri" w:hAnsiTheme="majorHAnsi" w:cs="Tahoma"/>
          <w:b/>
          <w:bCs/>
          <w:sz w:val="24"/>
          <w:lang w:val="pl-PL" w:eastAsia="en-US"/>
        </w:rPr>
        <w:t xml:space="preserve">Przegląd i konserwacja </w:t>
      </w:r>
      <w:r w:rsidRPr="003F6533">
        <w:rPr>
          <w:rFonts w:asciiTheme="majorHAnsi" w:eastAsia="Calibri" w:hAnsiTheme="majorHAnsi" w:cs="Tahoma"/>
          <w:b/>
          <w:bCs/>
          <w:color w:val="000000"/>
          <w:sz w:val="24"/>
          <w:lang w:val="pl-PL" w:eastAsia="en-US"/>
        </w:rPr>
        <w:t xml:space="preserve">instalacji wewnętrznej gazów medycznych </w:t>
      </w:r>
      <w:r w:rsidRPr="003F6533">
        <w:rPr>
          <w:rFonts w:asciiTheme="majorHAnsi" w:eastAsia="Calibri" w:hAnsiTheme="majorHAnsi" w:cs="Tahoma"/>
          <w:color w:val="000000"/>
          <w:sz w:val="24"/>
          <w:lang w:val="pl-PL" w:eastAsia="en-US"/>
        </w:rPr>
        <w:t xml:space="preserve">wykonany przez podmiot uprawniony, posiadający Certyfikat PN-EN ISO 13485-2012/AC:2012 wraz z certyfikatem EC na Dyrektywę 93/42/EEC” o wyrobach medycznych zaświadczające, że wykonawca jest uprawniony i posiada niezbędne zaplecze techniczne do serwisowania instalacji rurociągowych gazów medycznych i próżni. 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</w:pPr>
      <w:r w:rsidRPr="003F6533"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  <w:t>2) Przegląd instalacji wewnętrznej gazów medycznych i ich źródeł zasilania - Wykonawca oferuje następujący z</w:t>
      </w:r>
      <w:r w:rsidRPr="003F6533">
        <w:rPr>
          <w:rFonts w:asciiTheme="majorHAnsi" w:eastAsia="Calibri" w:hAnsiTheme="majorHAnsi" w:cs="Tahoma"/>
          <w:b/>
          <w:bCs/>
          <w:color w:val="000000"/>
          <w:sz w:val="24"/>
          <w:lang w:val="pl-PL" w:eastAsia="en-US"/>
        </w:rPr>
        <w:t xml:space="preserve">akres czynności </w:t>
      </w:r>
      <w:r w:rsidRPr="003F6533"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  <w:t xml:space="preserve">: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a) inwentaryzacja elementów instalacji,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b) kontrola mechanicznego działania punktów poboru,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c) sprawdzenie szczelności punktów poboru 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d) badanie rurociągów gazów sprężonych na obecność zanieczyszczeń stałych,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e) kontrola systemów alarmowych w zakresie ich funkcjonalności,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f) kontrola szczelności zaworów odcinających,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g) sprawdzenie nastawy zaworów nadmiarowych, </w:t>
      </w:r>
    </w:p>
    <w:p w:rsidR="00E0331A" w:rsidRPr="003F6533" w:rsidRDefault="00E0331A" w:rsidP="007F7334">
      <w:pPr>
        <w:autoSpaceDE w:val="0"/>
        <w:autoSpaceDN w:val="0"/>
        <w:adjustRightInd w:val="0"/>
        <w:spacing w:line="240" w:lineRule="auto"/>
        <w:ind w:left="72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h) sporządzenie protokołu zawierającego szczegółowy spis wszystkich punktów poboru z podziałem na poszczególne pomieszczenia i opis wyników badań uzyskanych w zakresie wykonanych czynności kontrolnych (wymienionych w pkt. a-h) Protokół powinien zawierać także wnioski i zalecenia pokontrolne odnoszące się do obowiązujących wymagań normatywnych.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ahoma"/>
          <w:b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b/>
          <w:color w:val="000000"/>
          <w:sz w:val="24"/>
          <w:lang w:val="pl-PL" w:eastAsia="pl-PL"/>
        </w:rPr>
        <w:t xml:space="preserve">3) Wnioski pokontrolne powinny zawierać odniesienie do spełnienia obowiązujących wymagań zawartych w: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 </w:t>
      </w: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ab/>
        <w:t xml:space="preserve">- PN-EN ISO 7396-1 „Systemy rurociągowe do sprężonych gazów medycznych – Część 1: Systemy rurociągowe do sprężonych gazów medycznych i próżni” </w:t>
      </w:r>
    </w:p>
    <w:p w:rsidR="00E0331A" w:rsidRPr="003F6533" w:rsidRDefault="00E0331A" w:rsidP="007F7334">
      <w:pPr>
        <w:autoSpaceDE w:val="0"/>
        <w:autoSpaceDN w:val="0"/>
        <w:adjustRightInd w:val="0"/>
        <w:spacing w:after="120" w:line="240" w:lineRule="auto"/>
        <w:ind w:left="720" w:hanging="360"/>
        <w:jc w:val="both"/>
        <w:rPr>
          <w:rFonts w:asciiTheme="majorHAnsi" w:hAnsiTheme="majorHAnsi" w:cs="Tahoma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 xml:space="preserve"> </w:t>
      </w:r>
      <w:r w:rsidRPr="003F6533">
        <w:rPr>
          <w:rFonts w:asciiTheme="majorHAnsi" w:hAnsiTheme="majorHAnsi" w:cs="Tahoma"/>
          <w:color w:val="000000"/>
          <w:sz w:val="24"/>
          <w:lang w:val="pl-PL" w:eastAsia="pl-PL"/>
        </w:rPr>
        <w:tab/>
        <w:t xml:space="preserve">- PN-EN IOS 7396-2 „Systemy rurociągowe do sprężonych gazów medycznych – Część 2: Systemy odprowadzające zużyte gazy anestetyczne” 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</w:pPr>
      <w:r w:rsidRPr="003F6533"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  <w:t>4)</w:t>
      </w:r>
      <w:r w:rsidRPr="003F6533">
        <w:rPr>
          <w:rFonts w:asciiTheme="majorHAnsi" w:eastAsia="Calibri" w:hAnsiTheme="majorHAnsi" w:cs="Tahoma"/>
          <w:color w:val="000000"/>
          <w:sz w:val="24"/>
          <w:lang w:val="pl-PL" w:eastAsia="en-US"/>
        </w:rPr>
        <w:t xml:space="preserve"> </w:t>
      </w:r>
      <w:r w:rsidRPr="003F6533"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  <w:t>Zakres przeglądu obejmuje łącznie ok. 542 szt. punktów poboru w systemie DIN.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</w:pPr>
      <w:r w:rsidRPr="003F6533">
        <w:rPr>
          <w:rFonts w:asciiTheme="majorHAnsi" w:eastAsia="Calibri" w:hAnsiTheme="majorHAnsi" w:cs="Tahoma"/>
          <w:b/>
          <w:color w:val="000000"/>
          <w:sz w:val="24"/>
          <w:lang w:val="pl-PL" w:eastAsia="en-US"/>
        </w:rPr>
        <w:t xml:space="preserve">5 ) Wnioski pokontrolne powinny zawierać odniesienie do spełnienia obowiązujących wymagań zawartych w: 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color w:val="000000"/>
          <w:sz w:val="24"/>
          <w:lang w:val="pl-PL" w:eastAsia="en-US"/>
        </w:rPr>
      </w:pPr>
      <w:r w:rsidRPr="003F6533">
        <w:rPr>
          <w:rFonts w:asciiTheme="majorHAnsi" w:eastAsia="Calibri" w:hAnsiTheme="majorHAnsi" w:cs="Tahoma"/>
          <w:color w:val="000000"/>
          <w:sz w:val="24"/>
          <w:lang w:val="pl-PL" w:eastAsia="en-US"/>
        </w:rPr>
        <w:t xml:space="preserve">- PN-EN ISO 7396-1 „Systemy rurociągowe do sprężonych gazów medycznych – Część 1: Systemy rurociągowe do sprężonych gazów medycznych i próżni” </w:t>
      </w:r>
    </w:p>
    <w:p w:rsidR="00E0331A" w:rsidRPr="003F6533" w:rsidRDefault="00E0331A" w:rsidP="007F7334">
      <w:pPr>
        <w:autoSpaceDE w:val="0"/>
        <w:autoSpaceDN w:val="0"/>
        <w:adjustRightInd w:val="0"/>
        <w:spacing w:after="126" w:line="240" w:lineRule="auto"/>
        <w:jc w:val="both"/>
        <w:rPr>
          <w:rFonts w:asciiTheme="majorHAnsi" w:eastAsia="Calibri" w:hAnsiTheme="majorHAnsi" w:cs="Tahoma"/>
          <w:color w:val="000000"/>
          <w:sz w:val="24"/>
          <w:lang w:val="pl-PL" w:eastAsia="en-US"/>
        </w:rPr>
      </w:pPr>
      <w:r w:rsidRPr="003F6533">
        <w:rPr>
          <w:rFonts w:asciiTheme="majorHAnsi" w:eastAsia="Calibri" w:hAnsiTheme="majorHAnsi" w:cs="Tahoma"/>
          <w:color w:val="000000"/>
          <w:sz w:val="24"/>
          <w:lang w:val="pl-PL" w:eastAsia="en-US"/>
        </w:rPr>
        <w:t xml:space="preserve">- PN-EN IOS 7396-2 „Systemy rurociągowe do sprężonych gazów medycznych – Część 2: Systemy odprowadzające zużyte gazy anestetyczne” </w:t>
      </w:r>
    </w:p>
    <w:p w:rsidR="00E0331A" w:rsidRPr="003F6533" w:rsidRDefault="00E0331A" w:rsidP="007F7334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Calibri" w:hAnsiTheme="majorHAnsi" w:cs="Tahoma"/>
          <w:color w:val="000000"/>
          <w:sz w:val="24"/>
          <w:lang w:val="pl-PL" w:eastAsia="en-US"/>
        </w:rPr>
      </w:pPr>
    </w:p>
    <w:p w:rsidR="00E0331A" w:rsidRPr="003F6533" w:rsidRDefault="00E0331A" w:rsidP="007F7334">
      <w:pPr>
        <w:spacing w:line="240" w:lineRule="auto"/>
        <w:ind w:left="-900"/>
        <w:jc w:val="both"/>
        <w:rPr>
          <w:rFonts w:asciiTheme="majorHAnsi" w:hAnsiTheme="majorHAnsi" w:cs="Tahoma"/>
          <w:b/>
          <w:sz w:val="24"/>
          <w:lang w:val="pl-PL" w:eastAsia="pl-PL"/>
        </w:rPr>
      </w:pPr>
      <w:r w:rsidRPr="003F6533">
        <w:rPr>
          <w:rFonts w:asciiTheme="majorHAnsi" w:hAnsiTheme="majorHAnsi" w:cs="Tahoma"/>
          <w:b/>
          <w:sz w:val="24"/>
          <w:lang w:val="pl-PL" w:eastAsia="pl-PL"/>
        </w:rPr>
        <w:t>II. W zakresie dostaw</w:t>
      </w:r>
      <w:r w:rsidRPr="003F6533">
        <w:rPr>
          <w:rFonts w:asciiTheme="majorHAnsi" w:hAnsiTheme="majorHAnsi"/>
          <w:sz w:val="24"/>
          <w:lang w:val="pl-PL" w:eastAsia="pl-PL"/>
        </w:rPr>
        <w:t xml:space="preserve"> </w:t>
      </w:r>
      <w:r w:rsidRPr="003F6533">
        <w:rPr>
          <w:rFonts w:asciiTheme="majorHAnsi" w:hAnsiTheme="majorHAnsi" w:cs="Tahoma"/>
          <w:b/>
          <w:sz w:val="24"/>
          <w:lang w:val="pl-PL" w:eastAsia="pl-PL"/>
        </w:rPr>
        <w:t>mieszaniny tlen/podtlenek azotu 50%/50% wraz z osprzętem Wykonawca winien spełnić  wymagania:</w:t>
      </w:r>
    </w:p>
    <w:p w:rsidR="00E0331A" w:rsidRPr="003F6533" w:rsidRDefault="00E0331A" w:rsidP="007F7334">
      <w:pPr>
        <w:spacing w:line="240" w:lineRule="auto"/>
        <w:ind w:left="-900"/>
        <w:jc w:val="both"/>
        <w:rPr>
          <w:rFonts w:asciiTheme="majorHAnsi" w:hAnsiTheme="majorHAnsi" w:cs="Tahoma"/>
          <w:b/>
          <w:sz w:val="24"/>
          <w:lang w:val="pl-PL" w:eastAsia="pl-PL"/>
        </w:rPr>
      </w:pP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Zamawiający wymaga dostarczenia  mieszaniny tlenu medycznego i podtlenku azotu medycznego 50% / 50% w butlach o pojemności wodnej 10l zawierających </w:t>
      </w:r>
      <w:smartTag w:uri="urn:schemas-microsoft-com:office:smarttags" w:element="metricconverter">
        <w:smartTagPr>
          <w:attr w:name="ProductID" w:val="2,8 m3"/>
        </w:smartTagPr>
        <w:r w:rsidRPr="003F6533">
          <w:rPr>
            <w:rFonts w:asciiTheme="majorHAnsi" w:hAnsiTheme="majorHAnsi" w:cs="Tahoma"/>
            <w:sz w:val="24"/>
            <w:lang w:val="pl-PL" w:eastAsia="pl-PL"/>
          </w:rPr>
          <w:t>2,8 m3</w:t>
        </w:r>
      </w:smartTag>
      <w:r w:rsidRPr="003F6533">
        <w:rPr>
          <w:rFonts w:asciiTheme="majorHAnsi" w:hAnsiTheme="majorHAnsi" w:cs="Tahoma"/>
          <w:sz w:val="24"/>
          <w:lang w:val="pl-PL" w:eastAsia="pl-PL"/>
        </w:rPr>
        <w:t xml:space="preserve"> gazu wraz </w:t>
      </w:r>
      <w:r w:rsidRPr="003F6533">
        <w:rPr>
          <w:rFonts w:asciiTheme="majorHAnsi" w:hAnsiTheme="majorHAnsi" w:cs="Tahoma"/>
          <w:sz w:val="24"/>
          <w:lang w:val="pl-PL" w:eastAsia="pl-PL"/>
        </w:rPr>
        <w:lastRenderedPageBreak/>
        <w:t>z dodatkowym wyposażeniem tj. wózkiem transportowym, zaworem dozującym mieszaninę wraz z przewodem oraz  jednorazowe zawory wydechowe z ustnikiem.</w:t>
      </w: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Zamawiający wymaga aby dostarczone butle posiadały zawór zintegrowany posiadający uchwyt dostosowany do  łatwego podnoszenia i przenoszenia butli przez personel medyczny.</w:t>
      </w: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Zamawiający wymaga aby Wykonawcy zaoferowali do podawania mieszaniny jednorazowy zawór wydechowy z ustnikiem który w połączeniu z zaworem dozującym uniemożliwia powrót wydychanego powietrza do zaworu dozującego i gwarantuje szczelność systemu podawania gazów eliminując tym samym potencjalne zagrożenie zakażeń bakteryjnych i wirusowych zaworu dozującego i na potwierdzenie tego  Wykonawca winien dołączyć do oferty szczegółową instrukcję obsługi producenta lub oświadczenie producenta</w:t>
      </w:r>
      <w:r w:rsidRPr="003F6533">
        <w:rPr>
          <w:rFonts w:asciiTheme="majorHAnsi" w:hAnsiTheme="majorHAnsi" w:cs="Tahoma"/>
          <w:strike/>
          <w:sz w:val="24"/>
          <w:lang w:val="pl-PL" w:eastAsia="pl-PL"/>
        </w:rPr>
        <w:t>.</w:t>
      </w: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Zamawiający wymaga aby wykonawcy zaoferowali do podawania  mieszaniny urządzenie wyposażone w zawór wydechowy jednorazowego użycia lub urządzenie wyposażone w  zawór wydechowy bez konieczności jego demontażu i dezynfekcji/sterylizacji po każdorazowym użyciu.</w:t>
      </w: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Zamawiający wymaga aby przedmiotem oferty było urządzenie które zgodnie z zasadami jego  bieżącego użytkowania i konserwacji, (zawartymi w instrukcji obsługi producenta) nie wymagało ingerencji w strukturę urządzenia polegającej na jego rozłożeniu na części. </w:t>
      </w: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Zamawiający wymaga aby zaoferowane wyroby tj. urządzenia do podawania mieszaniny gazów lub ich części składowe nie zawierały </w:t>
      </w:r>
      <w:proofErr w:type="spellStart"/>
      <w:r w:rsidRPr="003F6533">
        <w:rPr>
          <w:rFonts w:asciiTheme="majorHAnsi" w:hAnsiTheme="majorHAnsi" w:cs="Tahoma"/>
          <w:sz w:val="24"/>
          <w:lang w:val="pl-PL" w:eastAsia="pl-PL"/>
        </w:rPr>
        <w:t>ftalanów</w:t>
      </w:r>
      <w:proofErr w:type="spellEnd"/>
      <w:r w:rsidRPr="003F6533">
        <w:rPr>
          <w:rFonts w:asciiTheme="majorHAnsi" w:hAnsiTheme="majorHAnsi" w:cs="Tahoma"/>
          <w:sz w:val="24"/>
          <w:lang w:val="pl-PL" w:eastAsia="pl-PL"/>
        </w:rPr>
        <w:t xml:space="preserve">. </w:t>
      </w:r>
    </w:p>
    <w:p w:rsidR="00E0331A" w:rsidRPr="003F6533" w:rsidRDefault="00E0331A" w:rsidP="007F73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Zamawiający wymaga, aby oferowane urządzenie i oferowane ustniki do podawania mieszaniny posiadały status wyrobu medycznego.</w:t>
      </w:r>
    </w:p>
    <w:p w:rsidR="00E0331A" w:rsidRPr="003F6533" w:rsidRDefault="00E0331A" w:rsidP="007F7334">
      <w:pPr>
        <w:spacing w:line="240" w:lineRule="auto"/>
        <w:ind w:left="-90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b/>
          <w:sz w:val="24"/>
          <w:lang w:val="pl-PL" w:eastAsia="pl-PL"/>
        </w:rPr>
        <w:t>III. Zamawiający wymaga butli  do tlenu 2l, aluminiowych  o ciśnieniu 200 bar ze zintegrowanym</w:t>
      </w:r>
      <w:r w:rsidRPr="003F6533">
        <w:rPr>
          <w:rFonts w:asciiTheme="majorHAnsi" w:hAnsiTheme="majorHAnsi" w:cs="Tahoma"/>
          <w:sz w:val="24"/>
          <w:lang w:val="pl-PL" w:eastAsia="pl-PL"/>
        </w:rPr>
        <w:t xml:space="preserve"> reduktorem, regulatorem przepływu, gniazdem na szybkozłącze AGA lub DIN, wtykiem na przewód tlenowy i manometrem aktywnym uwidaczniającym poziom napełnienia butli.</w:t>
      </w:r>
    </w:p>
    <w:p w:rsidR="00E0331A" w:rsidRPr="003F6533" w:rsidRDefault="00E0331A" w:rsidP="007F7334">
      <w:pPr>
        <w:spacing w:line="240" w:lineRule="auto"/>
        <w:ind w:left="-900"/>
        <w:jc w:val="both"/>
        <w:rPr>
          <w:rFonts w:asciiTheme="majorHAnsi" w:hAnsiTheme="majorHAnsi" w:cs="Tahoma"/>
          <w:sz w:val="24"/>
          <w:lang w:val="pl-PL" w:eastAsia="pl-PL"/>
        </w:rPr>
      </w:pP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b/>
          <w:sz w:val="24"/>
          <w:lang w:val="pl-PL" w:eastAsia="pl-PL"/>
        </w:rPr>
      </w:pPr>
      <w:r w:rsidRPr="007F7334">
        <w:rPr>
          <w:rFonts w:asciiTheme="majorHAnsi" w:hAnsiTheme="majorHAnsi" w:cs="Tahoma"/>
          <w:b/>
          <w:sz w:val="24"/>
          <w:lang w:val="pl-PL" w:eastAsia="pl-PL"/>
        </w:rPr>
        <w:t>IV.</w:t>
      </w:r>
      <w:r w:rsidRPr="003F6533">
        <w:rPr>
          <w:rFonts w:asciiTheme="majorHAnsi" w:hAnsiTheme="majorHAnsi" w:cs="Tahoma"/>
          <w:sz w:val="24"/>
          <w:lang w:val="pl-PL" w:eastAsia="pl-PL"/>
        </w:rPr>
        <w:t xml:space="preserve"> </w:t>
      </w:r>
      <w:r w:rsidRPr="007F7334">
        <w:rPr>
          <w:rFonts w:asciiTheme="majorHAnsi" w:hAnsiTheme="majorHAnsi" w:cs="Tahoma"/>
          <w:b/>
          <w:sz w:val="24"/>
          <w:lang w:val="pl-PL" w:eastAsia="pl-PL"/>
        </w:rPr>
        <w:t>Wymagania/</w:t>
      </w:r>
      <w:r w:rsidRPr="003F6533">
        <w:rPr>
          <w:rFonts w:asciiTheme="majorHAnsi" w:hAnsiTheme="majorHAnsi" w:cs="Tahoma"/>
          <w:sz w:val="24"/>
          <w:lang w:val="pl-PL" w:eastAsia="pl-PL"/>
        </w:rPr>
        <w:t>w</w:t>
      </w:r>
      <w:r w:rsidRPr="003F6533">
        <w:rPr>
          <w:rFonts w:asciiTheme="majorHAnsi" w:hAnsiTheme="majorHAnsi" w:cs="Tahoma"/>
          <w:b/>
          <w:sz w:val="24"/>
          <w:lang w:val="pl-PL" w:eastAsia="pl-PL"/>
        </w:rPr>
        <w:t>arunki udziału w postępowaniu oraz opis sposobu dokonania oceny spełniania tych warunków.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O udzielenie zamówienia publicznego mogą ubiegać się wykonawcy, którzy </w:t>
      </w:r>
      <w:r w:rsidRPr="007F7334">
        <w:rPr>
          <w:rFonts w:asciiTheme="majorHAnsi" w:hAnsiTheme="majorHAnsi" w:cs="Tahoma"/>
          <w:b/>
          <w:sz w:val="24"/>
          <w:lang w:val="pl-PL" w:eastAsia="pl-PL"/>
        </w:rPr>
        <w:t>p</w:t>
      </w:r>
      <w:r w:rsidRPr="003F6533">
        <w:rPr>
          <w:rFonts w:asciiTheme="majorHAnsi" w:hAnsiTheme="majorHAnsi" w:cs="Tahoma"/>
          <w:b/>
          <w:sz w:val="24"/>
          <w:lang w:val="pl-PL" w:eastAsia="pl-PL"/>
        </w:rPr>
        <w:t>osiadają:</w:t>
      </w:r>
    </w:p>
    <w:p w:rsidR="00E0331A" w:rsidRPr="003F6533" w:rsidRDefault="00E0331A" w:rsidP="007F7334">
      <w:pPr>
        <w:widowControl w:val="0"/>
        <w:spacing w:line="240" w:lineRule="auto"/>
        <w:ind w:left="-1080"/>
        <w:jc w:val="both"/>
        <w:rPr>
          <w:rFonts w:asciiTheme="majorHAnsi" w:hAnsiTheme="majorHAnsi" w:cs="Tahoma"/>
          <w:snapToGrid w:val="0"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- dopuszczenie do obrotu produktu leczniczego na terytorium Rzeczypospolitej Polskiej zgodnie z art.28, ust.1 ustawy z dnia 6 września 2001 r. Prawo farmaceutyczne (Dz.U. z 2001, Nr 126, poz.1381) oraz charakterystykę produktu leczniczego dotyczy tlenu medycznego, podtlenku azotu medycznego i mieszaniny gazów tlenu medycznego i podtlenku azotu 50/50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- kartę specyfikacji produktu potwierdzająca, że oferowany tlen medyczny posiada czystość nie mniejszą niż 99,5% zgodnie z Farmakopeą Europejską.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- aktualne zezwolenie Głównego Inspektora    Farmaceutycznego na prowadzenie hurtowni farmaceutycznej w zakresie obrotu gazami medycznymi.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-aktualne zezwolenie Głównego Inspektora   Farmaceutycznego na wytwarzanie produktu leczniczego, w przypadku gdy oferent jest wytwórcą produktu.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>- powiadomienie do Urzędu Rejestracji Produktów Leczniczych Wyrobów  Medycznych i Produktów Biobójczych,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- deklaracja zgodności z Wymaganiami Zasadniczymi Dyrektywy Rady 93/42/EEC Medical Devices 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b/>
          <w:bCs/>
          <w:color w:val="000000"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- certyfikat wystawiony przez jednostkę notyfikowaną potwierdzający spełnienie dyrektywy 93/42/EEC w zakresie wytwarzania oferowanych wyrobów  </w:t>
      </w:r>
      <w:r w:rsidRPr="003F6533">
        <w:rPr>
          <w:rFonts w:asciiTheme="majorHAnsi" w:hAnsiTheme="majorHAnsi" w:cs="Tahoma"/>
          <w:bCs/>
          <w:color w:val="000000"/>
          <w:sz w:val="24"/>
          <w:lang w:val="pl-PL" w:eastAsia="pl-PL"/>
        </w:rPr>
        <w:t xml:space="preserve">dotyczy  wyrobów medycznych 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b/>
          <w:sz w:val="24"/>
          <w:lang w:val="pl-PL" w:eastAsia="pl-PL"/>
        </w:rPr>
      </w:pPr>
      <w:r w:rsidRPr="003F6533">
        <w:rPr>
          <w:rFonts w:asciiTheme="majorHAnsi" w:hAnsiTheme="majorHAnsi" w:cs="Tahoma"/>
          <w:sz w:val="24"/>
          <w:lang w:val="pl-PL" w:eastAsia="pl-PL"/>
        </w:rPr>
        <w:t xml:space="preserve">- certyfikat lub inny dokument wystawiony przez  producenta zaworu dozującego informującego o tym, że oferowane urządzenie nie zawiera </w:t>
      </w:r>
      <w:proofErr w:type="spellStart"/>
      <w:r w:rsidRPr="003F6533">
        <w:rPr>
          <w:rFonts w:asciiTheme="majorHAnsi" w:hAnsiTheme="majorHAnsi" w:cs="Tahoma"/>
          <w:sz w:val="24"/>
          <w:lang w:val="pl-PL" w:eastAsia="pl-PL"/>
        </w:rPr>
        <w:t>ftalanów</w:t>
      </w:r>
      <w:proofErr w:type="spellEnd"/>
      <w:r w:rsidRPr="003F6533">
        <w:rPr>
          <w:rFonts w:asciiTheme="majorHAnsi" w:hAnsiTheme="majorHAnsi" w:cs="Tahoma"/>
          <w:sz w:val="24"/>
          <w:lang w:val="pl-PL" w:eastAsia="pl-PL"/>
        </w:rPr>
        <w:t xml:space="preserve">  </w:t>
      </w: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  <w:r w:rsidRPr="003F6533">
        <w:rPr>
          <w:rFonts w:asciiTheme="majorHAnsi" w:hAnsiTheme="majorHAnsi" w:cs="Tahoma"/>
          <w:b/>
          <w:sz w:val="24"/>
          <w:lang w:val="pl-PL" w:eastAsia="pl-PL"/>
        </w:rPr>
        <w:lastRenderedPageBreak/>
        <w:t xml:space="preserve">- </w:t>
      </w:r>
      <w:r w:rsidRPr="003F6533">
        <w:rPr>
          <w:rFonts w:asciiTheme="majorHAnsi" w:hAnsiTheme="majorHAnsi" w:cs="Tahoma"/>
          <w:sz w:val="24"/>
          <w:lang w:val="pl-PL" w:eastAsia="pl-PL"/>
        </w:rPr>
        <w:t xml:space="preserve">posiada instrukcję obsługi w języku polskim urządzenia do podawania mieszaniny tlenu medycznego i podtlenku azotu medycznego 50% / 50%  </w:t>
      </w:r>
      <w:r w:rsidRPr="003F6533">
        <w:rPr>
          <w:rFonts w:asciiTheme="majorHAnsi" w:hAnsiTheme="majorHAnsi" w:cs="Tahoma"/>
          <w:b/>
          <w:sz w:val="24"/>
          <w:lang w:val="pl-PL" w:eastAsia="pl-PL"/>
        </w:rPr>
        <w:t>–</w:t>
      </w:r>
      <w:r w:rsidRPr="003F6533">
        <w:rPr>
          <w:rFonts w:asciiTheme="majorHAnsi" w:hAnsiTheme="majorHAnsi" w:cs="Tahoma"/>
          <w:sz w:val="24"/>
          <w:lang w:val="pl-PL" w:eastAsia="pl-PL"/>
        </w:rPr>
        <w:t xml:space="preserve"> zawór dozujący</w:t>
      </w:r>
    </w:p>
    <w:p w:rsidR="00E0331A" w:rsidRDefault="00E0331A" w:rsidP="007F7334">
      <w:pPr>
        <w:spacing w:line="240" w:lineRule="auto"/>
        <w:ind w:left="-1080"/>
        <w:jc w:val="both"/>
        <w:rPr>
          <w:rFonts w:asciiTheme="majorHAnsi" w:eastAsiaTheme="minorHAnsi" w:hAnsiTheme="majorHAnsi" w:cs="Tahoma"/>
          <w:color w:val="000000"/>
          <w:sz w:val="24"/>
          <w:lang w:val="pl-PL" w:eastAsia="en-US"/>
        </w:rPr>
      </w:pPr>
      <w:r w:rsidRPr="003F6533">
        <w:rPr>
          <w:rFonts w:asciiTheme="majorHAnsi" w:eastAsiaTheme="minorHAnsi" w:hAnsiTheme="majorHAnsi" w:cs="Tahoma"/>
          <w:color w:val="000000"/>
          <w:sz w:val="24"/>
          <w:lang w:val="pl-PL" w:eastAsia="en-US"/>
        </w:rPr>
        <w:t>Zamawiający wymaga od Wykonawcy przeglądu instalacji gazów medycznych i przedstawienia w ofercie dokumentu potwierdzającego stosowanie wymagań Dyrektywy 93/42/EEC "o wyrobach medycznych" poświadczającego posiadanie przygotowania merytorycznego, niezbędnych przyrządów pomiarowych tj. ustanowiony i utrzymywany system zarządzania jakością dla wyrobów medycznych potwierdzony Certyfikatem wydanym przez Jednostkę Notyfikowaną zgodnie z EN ISO 13485, obejmującym zakres: serwisowanie instalacji rurociągowych gazów medycznych i próżni.</w:t>
      </w:r>
    </w:p>
    <w:p w:rsidR="00EE12CF" w:rsidRPr="003F6533" w:rsidRDefault="00EE12CF" w:rsidP="007F7334">
      <w:pPr>
        <w:spacing w:line="240" w:lineRule="auto"/>
        <w:ind w:left="-1080"/>
        <w:jc w:val="both"/>
        <w:rPr>
          <w:rFonts w:asciiTheme="majorHAnsi" w:eastAsiaTheme="minorHAnsi" w:hAnsiTheme="majorHAnsi" w:cs="Tahoma"/>
          <w:color w:val="000000"/>
          <w:sz w:val="24"/>
          <w:lang w:val="pl-PL" w:eastAsia="en-US"/>
        </w:rPr>
      </w:pPr>
    </w:p>
    <w:p w:rsidR="00E0331A" w:rsidRPr="003F6533" w:rsidRDefault="00E0331A" w:rsidP="007F7334">
      <w:pPr>
        <w:spacing w:line="240" w:lineRule="auto"/>
        <w:ind w:left="-1080"/>
        <w:jc w:val="both"/>
        <w:rPr>
          <w:rFonts w:asciiTheme="majorHAnsi" w:hAnsiTheme="majorHAnsi" w:cs="Tahoma"/>
          <w:sz w:val="24"/>
          <w:lang w:val="pl-PL" w:eastAsia="pl-PL"/>
        </w:rPr>
      </w:pPr>
    </w:p>
    <w:p w:rsidR="00EE12CF" w:rsidRPr="00EE12CF" w:rsidRDefault="00EE12CF" w:rsidP="00EE12CF">
      <w:pPr>
        <w:pStyle w:val="Default"/>
        <w:rPr>
          <w:rFonts w:asciiTheme="majorHAnsi" w:hAnsiTheme="majorHAnsi"/>
        </w:rPr>
      </w:pPr>
      <w:r w:rsidRPr="00EE12CF">
        <w:rPr>
          <w:rFonts w:asciiTheme="majorHAnsi" w:hAnsiTheme="majorHAnsi"/>
        </w:rPr>
        <w:t>...................................................................</w:t>
      </w:r>
    </w:p>
    <w:p w:rsidR="00EE12CF" w:rsidRPr="00EE12CF" w:rsidRDefault="00EE12CF" w:rsidP="00EE12CF">
      <w:pPr>
        <w:pStyle w:val="Default"/>
        <w:rPr>
          <w:rFonts w:asciiTheme="majorHAnsi" w:hAnsiTheme="majorHAnsi"/>
          <w:i/>
        </w:rPr>
      </w:pPr>
      <w:r w:rsidRPr="00EE12CF">
        <w:rPr>
          <w:rFonts w:asciiTheme="majorHAnsi" w:hAnsiTheme="majorHAnsi"/>
          <w:i/>
        </w:rPr>
        <w:t xml:space="preserve">                 miejscowość, data                                                                    </w:t>
      </w:r>
    </w:p>
    <w:p w:rsidR="00EE12CF" w:rsidRPr="00EE12CF" w:rsidRDefault="00EE12CF" w:rsidP="00EE12CF">
      <w:pPr>
        <w:pStyle w:val="Default"/>
        <w:jc w:val="right"/>
        <w:rPr>
          <w:rFonts w:asciiTheme="majorHAnsi" w:hAnsiTheme="majorHAnsi"/>
          <w:i/>
        </w:rPr>
      </w:pPr>
    </w:p>
    <w:p w:rsidR="00EE12CF" w:rsidRPr="00EE12CF" w:rsidRDefault="00EE12CF" w:rsidP="00EE12CF">
      <w:pPr>
        <w:pStyle w:val="Default"/>
        <w:jc w:val="right"/>
        <w:rPr>
          <w:rFonts w:asciiTheme="majorHAnsi" w:hAnsiTheme="majorHAnsi"/>
        </w:rPr>
      </w:pPr>
      <w:r w:rsidRPr="00EE12CF">
        <w:rPr>
          <w:rFonts w:asciiTheme="majorHAnsi" w:hAnsiTheme="majorHAnsi"/>
          <w:i/>
        </w:rPr>
        <w:t xml:space="preserve">   </w:t>
      </w:r>
      <w:r w:rsidRPr="00EE12CF">
        <w:rPr>
          <w:rFonts w:asciiTheme="majorHAnsi" w:hAnsiTheme="majorHAnsi"/>
        </w:rPr>
        <w:t>.....................................................................</w:t>
      </w:r>
    </w:p>
    <w:p w:rsidR="00EE12CF" w:rsidRPr="00EE12CF" w:rsidRDefault="00EE12CF" w:rsidP="00EE12CF">
      <w:pPr>
        <w:pStyle w:val="Default"/>
        <w:jc w:val="right"/>
        <w:rPr>
          <w:rFonts w:asciiTheme="majorHAnsi" w:hAnsiTheme="majorHAnsi"/>
          <w:i/>
        </w:rPr>
      </w:pPr>
      <w:r w:rsidRPr="00EE12CF">
        <w:rPr>
          <w:rFonts w:asciiTheme="majorHAnsi" w:hAnsiTheme="majorHAnsi"/>
          <w:i/>
        </w:rPr>
        <w:t xml:space="preserve">podpis i pieczęć osoby (osób) upoważnionej </w:t>
      </w:r>
    </w:p>
    <w:p w:rsidR="00EE12CF" w:rsidRPr="00EE12CF" w:rsidRDefault="00EE12CF" w:rsidP="00EE12CF">
      <w:pPr>
        <w:pStyle w:val="Default"/>
        <w:jc w:val="right"/>
        <w:rPr>
          <w:rFonts w:asciiTheme="majorHAnsi" w:hAnsiTheme="majorHAnsi"/>
        </w:rPr>
      </w:pPr>
      <w:r w:rsidRPr="00EE12CF">
        <w:rPr>
          <w:rFonts w:asciiTheme="majorHAnsi" w:hAnsiTheme="majorHAnsi"/>
          <w:i/>
        </w:rPr>
        <w:t>do reprezentowania Wykonawcy</w:t>
      </w:r>
    </w:p>
    <w:p w:rsidR="00EE12CF" w:rsidRPr="00EE12CF" w:rsidRDefault="00EE12CF" w:rsidP="00EE12CF">
      <w:pPr>
        <w:pStyle w:val="Default"/>
        <w:jc w:val="right"/>
        <w:rPr>
          <w:rFonts w:asciiTheme="majorHAnsi" w:hAnsiTheme="majorHAnsi"/>
        </w:rPr>
      </w:pPr>
    </w:p>
    <w:p w:rsidR="002E3DE1" w:rsidRPr="003F6533" w:rsidRDefault="002E3DE1" w:rsidP="007F7334">
      <w:pPr>
        <w:pStyle w:val="Default"/>
        <w:jc w:val="both"/>
        <w:rPr>
          <w:rFonts w:asciiTheme="majorHAnsi" w:hAnsiTheme="majorHAnsi"/>
        </w:rPr>
      </w:pPr>
    </w:p>
    <w:sectPr w:rsidR="002E3DE1" w:rsidRPr="003F6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E8" w:rsidRDefault="00660CE8" w:rsidP="00660CE8">
      <w:pPr>
        <w:spacing w:line="240" w:lineRule="auto"/>
      </w:pPr>
      <w:r>
        <w:separator/>
      </w:r>
    </w:p>
  </w:endnote>
  <w:endnote w:type="continuationSeparator" w:id="0">
    <w:p w:rsidR="00660CE8" w:rsidRDefault="00660CE8" w:rsidP="0066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ndeDaxOffice">
    <w:altName w:val="Nyala"/>
    <w:charset w:val="EE"/>
    <w:family w:val="swiss"/>
    <w:pitch w:val="variable"/>
    <w:sig w:usb0="00000001" w:usb1="5000206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E8" w:rsidRDefault="00660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667154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CE8" w:rsidRDefault="00660C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CE8" w:rsidRDefault="00660C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E8" w:rsidRDefault="00660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E8" w:rsidRDefault="00660CE8" w:rsidP="00660CE8">
      <w:pPr>
        <w:spacing w:line="240" w:lineRule="auto"/>
      </w:pPr>
      <w:r>
        <w:separator/>
      </w:r>
    </w:p>
  </w:footnote>
  <w:footnote w:type="continuationSeparator" w:id="0">
    <w:p w:rsidR="00660CE8" w:rsidRDefault="00660CE8" w:rsidP="0066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E8" w:rsidRDefault="00660C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E8" w:rsidRDefault="00660C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E8" w:rsidRDefault="00660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777"/>
    <w:multiLevelType w:val="hybridMultilevel"/>
    <w:tmpl w:val="5B229BA2"/>
    <w:lvl w:ilvl="0" w:tplc="FE56DD96">
      <w:start w:val="1"/>
      <w:numFmt w:val="decimal"/>
      <w:lvlText w:val="%1."/>
      <w:lvlJc w:val="left"/>
      <w:pPr>
        <w:ind w:left="-540" w:hanging="360"/>
      </w:pPr>
    </w:lvl>
    <w:lvl w:ilvl="1" w:tplc="04150019">
      <w:start w:val="1"/>
      <w:numFmt w:val="lowerLetter"/>
      <w:lvlText w:val="%2."/>
      <w:lvlJc w:val="left"/>
      <w:pPr>
        <w:ind w:left="180" w:hanging="360"/>
      </w:pPr>
    </w:lvl>
    <w:lvl w:ilvl="2" w:tplc="0415001B">
      <w:start w:val="1"/>
      <w:numFmt w:val="lowerRoman"/>
      <w:lvlText w:val="%3."/>
      <w:lvlJc w:val="right"/>
      <w:pPr>
        <w:ind w:left="900" w:hanging="180"/>
      </w:pPr>
    </w:lvl>
    <w:lvl w:ilvl="3" w:tplc="0415000F">
      <w:start w:val="1"/>
      <w:numFmt w:val="decimal"/>
      <w:lvlText w:val="%4."/>
      <w:lvlJc w:val="left"/>
      <w:pPr>
        <w:ind w:left="1620" w:hanging="360"/>
      </w:pPr>
    </w:lvl>
    <w:lvl w:ilvl="4" w:tplc="04150019">
      <w:start w:val="1"/>
      <w:numFmt w:val="lowerLetter"/>
      <w:lvlText w:val="%5."/>
      <w:lvlJc w:val="left"/>
      <w:pPr>
        <w:ind w:left="2340" w:hanging="360"/>
      </w:pPr>
    </w:lvl>
    <w:lvl w:ilvl="5" w:tplc="0415001B">
      <w:start w:val="1"/>
      <w:numFmt w:val="lowerRoman"/>
      <w:lvlText w:val="%6."/>
      <w:lvlJc w:val="right"/>
      <w:pPr>
        <w:ind w:left="3060" w:hanging="180"/>
      </w:pPr>
    </w:lvl>
    <w:lvl w:ilvl="6" w:tplc="0415000F">
      <w:start w:val="1"/>
      <w:numFmt w:val="decimal"/>
      <w:lvlText w:val="%7."/>
      <w:lvlJc w:val="left"/>
      <w:pPr>
        <w:ind w:left="3780" w:hanging="360"/>
      </w:pPr>
    </w:lvl>
    <w:lvl w:ilvl="7" w:tplc="04150019">
      <w:start w:val="1"/>
      <w:numFmt w:val="lowerLetter"/>
      <w:lvlText w:val="%8."/>
      <w:lvlJc w:val="left"/>
      <w:pPr>
        <w:ind w:left="4500" w:hanging="360"/>
      </w:pPr>
    </w:lvl>
    <w:lvl w:ilvl="8" w:tplc="0415001B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84"/>
    <w:rsid w:val="001C4FC4"/>
    <w:rsid w:val="001E2F88"/>
    <w:rsid w:val="002C1C05"/>
    <w:rsid w:val="002E3DE1"/>
    <w:rsid w:val="003F2FB5"/>
    <w:rsid w:val="003F6533"/>
    <w:rsid w:val="004A4C91"/>
    <w:rsid w:val="00517135"/>
    <w:rsid w:val="00625C3C"/>
    <w:rsid w:val="00634584"/>
    <w:rsid w:val="00660CE8"/>
    <w:rsid w:val="007F7334"/>
    <w:rsid w:val="008F5579"/>
    <w:rsid w:val="0091280C"/>
    <w:rsid w:val="009853C5"/>
    <w:rsid w:val="00A645E3"/>
    <w:rsid w:val="00C54605"/>
    <w:rsid w:val="00D76352"/>
    <w:rsid w:val="00DC144E"/>
    <w:rsid w:val="00E0331A"/>
    <w:rsid w:val="00E0793F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DE1"/>
    <w:pPr>
      <w:spacing w:after="0" w:line="280" w:lineRule="exact"/>
    </w:pPr>
    <w:rPr>
      <w:rFonts w:ascii="LindeDaxOffice" w:eastAsia="Times New Roman" w:hAnsi="LindeDaxOffice" w:cs="Times New Roman"/>
      <w:sz w:val="20"/>
      <w:szCs w:val="24"/>
      <w:lang w:val="en-US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DE1"/>
    <w:pPr>
      <w:ind w:left="708"/>
    </w:pPr>
  </w:style>
  <w:style w:type="paragraph" w:customStyle="1" w:styleId="Default">
    <w:name w:val="Default"/>
    <w:rsid w:val="002E3DE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0C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CE8"/>
    <w:rPr>
      <w:rFonts w:ascii="LindeDaxOffice" w:eastAsia="Times New Roman" w:hAnsi="LindeDaxOffice" w:cs="Times New Roman"/>
      <w:sz w:val="20"/>
      <w:szCs w:val="24"/>
      <w:lang w:val="en-US" w:eastAsia="de-DE"/>
    </w:rPr>
  </w:style>
  <w:style w:type="paragraph" w:styleId="Stopka">
    <w:name w:val="footer"/>
    <w:basedOn w:val="Normalny"/>
    <w:link w:val="StopkaZnak"/>
    <w:uiPriority w:val="99"/>
    <w:unhideWhenUsed/>
    <w:rsid w:val="00660C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CE8"/>
    <w:rPr>
      <w:rFonts w:ascii="LindeDaxOffice" w:eastAsia="Times New Roman" w:hAnsi="LindeDaxOffice" w:cs="Times New Roman"/>
      <w:sz w:val="20"/>
      <w:szCs w:val="24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DE1"/>
    <w:pPr>
      <w:spacing w:after="0" w:line="280" w:lineRule="exact"/>
    </w:pPr>
    <w:rPr>
      <w:rFonts w:ascii="LindeDaxOffice" w:eastAsia="Times New Roman" w:hAnsi="LindeDaxOffice" w:cs="Times New Roman"/>
      <w:sz w:val="20"/>
      <w:szCs w:val="24"/>
      <w:lang w:val="en-US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DE1"/>
    <w:pPr>
      <w:ind w:left="708"/>
    </w:pPr>
  </w:style>
  <w:style w:type="paragraph" w:customStyle="1" w:styleId="Default">
    <w:name w:val="Default"/>
    <w:rsid w:val="002E3DE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0C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CE8"/>
    <w:rPr>
      <w:rFonts w:ascii="LindeDaxOffice" w:eastAsia="Times New Roman" w:hAnsi="LindeDaxOffice" w:cs="Times New Roman"/>
      <w:sz w:val="20"/>
      <w:szCs w:val="24"/>
      <w:lang w:val="en-US" w:eastAsia="de-DE"/>
    </w:rPr>
  </w:style>
  <w:style w:type="paragraph" w:styleId="Stopka">
    <w:name w:val="footer"/>
    <w:basedOn w:val="Normalny"/>
    <w:link w:val="StopkaZnak"/>
    <w:uiPriority w:val="99"/>
    <w:unhideWhenUsed/>
    <w:rsid w:val="00660C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CE8"/>
    <w:rPr>
      <w:rFonts w:ascii="LindeDaxOffice" w:eastAsia="Times New Roman" w:hAnsi="LindeDaxOffice" w:cs="Times New Roman"/>
      <w:sz w:val="20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J.Zurakowski</dc:creator>
  <cp:lastModifiedBy>Z.Konieczny</cp:lastModifiedBy>
  <cp:revision>7</cp:revision>
  <dcterms:created xsi:type="dcterms:W3CDTF">2019-11-14T07:39:00Z</dcterms:created>
  <dcterms:modified xsi:type="dcterms:W3CDTF">2019-11-27T12:19:00Z</dcterms:modified>
</cp:coreProperties>
</file>