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5966"/>
        <w:gridCol w:w="1163"/>
        <w:gridCol w:w="1141"/>
      </w:tblGrid>
      <w:tr w:rsidR="00463BAE" w:rsidRPr="00E60A4E" w:rsidTr="00463BAE">
        <w:trPr>
          <w:trHeight w:val="300"/>
        </w:trPr>
        <w:tc>
          <w:tcPr>
            <w:tcW w:w="9020" w:type="dxa"/>
            <w:gridSpan w:val="4"/>
            <w:shd w:val="clear" w:color="auto" w:fill="auto"/>
            <w:vAlign w:val="center"/>
          </w:tcPr>
          <w:p w:rsidR="004863B9" w:rsidRPr="004863B9" w:rsidRDefault="004863B9" w:rsidP="00486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863B9">
              <w:rPr>
                <w:rFonts w:ascii="Arial" w:hAnsi="Arial" w:cs="Arial"/>
                <w:b/>
              </w:rPr>
              <w:t>Numer postępowania: MCM/WSM/ZP27/2019</w:t>
            </w:r>
          </w:p>
          <w:p w:rsidR="00463BAE" w:rsidRPr="00463BAE" w:rsidRDefault="00463BAE" w:rsidP="00463BAE">
            <w:pPr>
              <w:keepNext/>
              <w:spacing w:after="0" w:line="240" w:lineRule="auto"/>
              <w:jc w:val="right"/>
              <w:outlineLvl w:val="4"/>
              <w:rPr>
                <w:rFonts w:ascii="Century Gothic" w:eastAsia="Times New Roman" w:hAnsi="Century Gothic" w:cs="Tahoma"/>
                <w:bCs/>
                <w:i/>
                <w:sz w:val="18"/>
                <w:szCs w:val="18"/>
                <w:u w:val="single"/>
                <w:lang w:eastAsia="pl-PL"/>
              </w:rPr>
            </w:pPr>
            <w:r w:rsidRPr="00463BAE"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pl-PL"/>
              </w:rPr>
              <w:t xml:space="preserve">Załącznik </w:t>
            </w:r>
            <w:r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pl-PL"/>
              </w:rPr>
              <w:t>N</w:t>
            </w:r>
            <w:r w:rsidRPr="00463BAE">
              <w:rPr>
                <w:rFonts w:ascii="Century Gothic" w:eastAsia="Times New Roman" w:hAnsi="Century Gothic" w:cs="Tahoma"/>
                <w:b/>
                <w:bCs/>
                <w:sz w:val="18"/>
                <w:szCs w:val="18"/>
                <w:lang w:eastAsia="pl-PL"/>
              </w:rPr>
              <w:t xml:space="preserve">r 2 do SIWZ </w:t>
            </w:r>
          </w:p>
          <w:p w:rsidR="00463BAE" w:rsidRPr="00E60A4E" w:rsidRDefault="00463BAE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63BAE" w:rsidRPr="00463BAE" w:rsidTr="00463BAE">
        <w:trPr>
          <w:trHeight w:val="300"/>
        </w:trPr>
        <w:tc>
          <w:tcPr>
            <w:tcW w:w="9020" w:type="dxa"/>
            <w:gridSpan w:val="4"/>
            <w:shd w:val="clear" w:color="auto" w:fill="auto"/>
            <w:vAlign w:val="center"/>
          </w:tcPr>
          <w:p w:rsidR="004863B9" w:rsidRDefault="004863B9" w:rsidP="00463BAE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63BAE" w:rsidRPr="00463BAE" w:rsidRDefault="008F25A7" w:rsidP="00463BAE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przedmiotu zamówienia</w:t>
            </w:r>
            <w:r w:rsidR="00463BAE" w:rsidRPr="00463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warunków gwarancji oraz szkoleń</w:t>
            </w:r>
          </w:p>
          <w:p w:rsidR="00463BAE" w:rsidRPr="00463BAE" w:rsidRDefault="00463BAE" w:rsidP="00463BAE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463BAE" w:rsidRDefault="00463BAE" w:rsidP="00463BAE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Dotyczy: postępowanie o udzielenie zamówienia publicznego prowadzonego w trybie przetargu nieograniczonego na dostawę artroskopu dla  Oddziału Chirurgii Urazowo – Ortopedycznej Milickiego Centrum Medycznego sp. z o.o., w Miliczu.</w:t>
            </w:r>
          </w:p>
          <w:p w:rsidR="00463BAE" w:rsidRPr="00463BAE" w:rsidRDefault="00463BAE" w:rsidP="00463BAE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463BAE" w:rsidRPr="00463BAE" w:rsidRDefault="00463BAE" w:rsidP="00463BAE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463BAE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 xml:space="preserve">Uwaga: </w:t>
            </w:r>
          </w:p>
          <w:p w:rsidR="00463BAE" w:rsidRPr="00463BAE" w:rsidRDefault="00463BAE" w:rsidP="00463BAE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63BA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Wymogiem jest, aby wartości podane w kolumnie „parametry i wartości oferowane” były zgodne ze stanem faktycznym oraz danymi zawartymi w oficjalnym dokumencie przedstawiającym dane techniczne (np. katalog). </w:t>
            </w:r>
          </w:p>
          <w:p w:rsidR="00463BAE" w:rsidRPr="00463BAE" w:rsidRDefault="00463BAE" w:rsidP="00FF569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Zamawiający ma prawo wystąpić do wykonawców o udzielenie dalszych wyjaśnień niezbędnych dla weryfikacji udzielonych odpowiedzi.</w:t>
            </w:r>
          </w:p>
        </w:tc>
      </w:tr>
      <w:tr w:rsidR="00FF5698" w:rsidRPr="00E60A4E" w:rsidTr="004863B9">
        <w:trPr>
          <w:trHeight w:val="300"/>
        </w:trPr>
        <w:tc>
          <w:tcPr>
            <w:tcW w:w="90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F5698" w:rsidRPr="00E60A4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Opis parametrów technicznych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FF56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Parametry i wartości wymagane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Parametry i wartości oferowane </w:t>
            </w:r>
          </w:p>
        </w:tc>
      </w:tr>
      <w:tr w:rsidR="00FF5698" w:rsidRPr="00E60A4E" w:rsidTr="004863B9">
        <w:trPr>
          <w:trHeight w:val="300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ARTROSKOP – 1 SZT.</w:t>
            </w:r>
          </w:p>
        </w:tc>
      </w:tr>
      <w:tr w:rsidR="00FF5698" w:rsidRPr="00E60A4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2A5F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urządzenia model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2A5FD1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F5698" w:rsidRPr="00E60A4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2A5FD1" w:rsidP="002A5F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2A5FD1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F5698" w:rsidRPr="00E60A4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2A5FD1" w:rsidP="002A5F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Kraj Produkcji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2A5FD1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698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954ED" w:rsidRPr="00E60A4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ED" w:rsidRPr="00E60A4E" w:rsidRDefault="00FF5698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ED" w:rsidRPr="00E60A4E" w:rsidRDefault="002A5FD1" w:rsidP="002A5F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Rok produkcji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ED" w:rsidRPr="00E60A4E" w:rsidRDefault="002A5FD1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ED" w:rsidRPr="00E60A4E" w:rsidRDefault="007954ED" w:rsidP="00E60A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A1039" w:rsidRPr="00463BAE" w:rsidTr="004863B9">
        <w:trPr>
          <w:trHeight w:val="479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39" w:rsidRPr="00463BAE" w:rsidRDefault="009A1039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Y TECHNICZNE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Monitor medyczny spełniający wymagania standardu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full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HD   -1szt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 min. 27 cali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Rozdzielczość obrazu minimum 1920 x 1080 format 16:9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Funkcja: obraz w obrazie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Funkcja: obraz po obrazie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Kontrast 1000:1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Wejścia : SDI, HDMI, DVI, RGB, Component, S-Video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Wyjścia : SDI,  DVI , Component, S-Video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PAL, SECAM, NTSC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Standard DICOM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Pobór mocy 37.4W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Kąt widzenia 178/178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waga 9,02 kg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uchwyt na monitor, Standard VESA 100 mm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Optyka o wysokiej rozdzielczości HD typu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direct-view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kącie widzenia 30  stopni, szerokokątna, średnica 4 mm, minimum dł. 16 cm, 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autoklawowalna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- 2szt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6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Płaszcz artroskopu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szybkoprzepływowy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średnica minimum 6,0 mm  z dwoma obrotowymi zaworami i mechanizmem mocowania optyki, do wykorzystania z optykami o kącie patrzenia:30 stopni  - 2szt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Obturator półostry do płaszcza artroskopowego   - 2szt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Podstawa jezdna na kółkach z możliwością blokady ruchu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ustawienia wszystkich elementów zestawu </w:t>
            </w: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endoskopowego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Szuflada oraz możliwość zawieszenia worków z płynami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Główny włącznik prądu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podłączenia wszystkich urządzeń bezpośrednio do wózka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Zamknięta tylna ściana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Listwa zasilająca z uziemieniem oraz bolcami wyrównania potencjałów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Pompa artroskopowa przeznaczona do kontrolowanego rozszerzania stawów podczas operacji artroskopowych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Dreny zamknięte w kasecie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przepływu  rozszerzającego minimum 0 – 2500 ml/min.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Regulacja ciśnienia minimum od 10 do 150 mm/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hg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Kolorowy monitor dotykowy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3 programy trybu pracy dedykowane do różnych kaniul-różnych stawów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Wskaźniki cyfrowe wartości rzeczywistej i żądanej przepływu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Wskaźniki cyfrowe wartości rzeczywistej i żądanej ciśnienia w stawie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Komunikacja z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shaverem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Port komunikacyjny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Konsola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shavera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obsługująca uchwyt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shavera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- 1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Tryby pracy: oscylacja, obroty w prawo, obroty w lewo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Kolorowy monitor dotykowy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Możliwość dezaktywacji funkcji przycisków na uchwycie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shavera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Uchwyt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shavera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wyposażony w 3 przyciski    - 2szt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Automatyczne rozpoznawanie podłączonego uchwytu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Automatyczne ustawianie parametrów domyślnych optymalnych dla danego ostrza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Automatyczne wykrywanie rodzaju ostrza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Uchwyt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shavera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wyposażony w dźwignię kontroli odsysania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Uchwyt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shavera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maksymalnej prędkości obrotowej minimum 10 000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./min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8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Funkcja trybu pamięci położenia okna ostrza wewnętrznego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shavera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polegająca na tym, iż można ustawić pozycję okna ostrza tnącego w ten sposób, że za każdym razem po zatrzymaniu napędu ostrze zatrzymuje się w tym samym miejscu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wyboru :  ostrze umożliwiające usuwanie tkanek miękkich jak i kości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6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Komunikacja z pompa artroskopową: za pomocą przycisku na pedale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shavera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można uruchomić oraz zatrzymać funkcję przepłukania stawu(wzrost ciśnienia i przepływu płynu w stawie)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Generator plazmowy z funkcją automatycznej kontroli odpływu    - 1szt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Urządzenie bipolarne pracujące w środowisku soli fizjologicznej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Technologia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Flow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-IQ - zapewnia automatyczną kontrolę odpływu soli fizjologicznej w zależności od rodzaju usuwanej tkanki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Jedna elektroda dedykowana do efektywnego usuwania wielu tkanek, np. łąkotki, chrząstki, więzadeł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Częstotliwość działania - max. 100 kHz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Funkcja automatycznego zawieszenia generowania sygnału przy skoku napięcia, np. kiedy końcówka zbliży się do obiektu </w:t>
            </w: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metalowego (np. płaszcza, optyki 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Automatyczna kontrola mocy maksymalnej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załeżnie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 używanego typu elektrody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zastosowania elektrody ze sterowaniem ręcznym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Medyczna konsola kamery z wbudowanym modułem Wi-Fi, źródło światła LED oraz archiwizator w jednym   - 1szt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Głowica kamery 1080p  - 1szt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technologia CMOS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Głowica kamery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autoklawowalna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wyposażona w 3 programowalne przyciski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Głowica kamery zamknięta w podwójnej powłoce ,zabezpieczającej przed uszkodzeniem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Autoklawowalny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coupler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17,2 mm  - 1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zaprogramowania na przyciskach głowicy kamery do 6 funkcji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programowania funkcji na przyciskach głowicy kamery z poziomu aplikacji lub z poziomu menu urządzenia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Wstępnie wbudowana uniwersalna aplikacja,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umożliwająca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zdalne sterowanie systemem za pomocą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Ipad'a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6F58DF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Źródło światła LED - żywotność min. 30 000 godzin pracy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6F58DF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kontrolowania źródła światła za pomocą aplikacji, konsoli lub z poziomu głowicy kamery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6F58DF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Światłowód w przeźroczystej osłonie, pozwalający na wizualną ocenę uszkodzeń  - 2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6F58DF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Funkcja zabezpieczająca przed oślepieniem- przy wypadnięciu światłowodu, zamknięcie dopływu światła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6F58DF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Funkcja czuwania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6F58DF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Wbudowane w urządzenie 4 adaptery  umożliwiające podłączenie następujących światłowodów: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Dyonics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/Wolf, Olympus, </w:t>
            </w:r>
            <w:proofErr w:type="spellStart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Storz</w:t>
            </w:r>
            <w:proofErr w:type="spellEnd"/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ACMI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954ED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6F58DF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adaptery do światłowodu - 4szt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ED" w:rsidRPr="00463BAE" w:rsidRDefault="007954ED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58DF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Default="00C23C45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Pr="00463BAE" w:rsidRDefault="00C23C45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3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Wykonawca udziela Zamawiającemu gwarancji na dostarczony sprzęt na okres ……. (min. 24) miesięcy, licząc od daty dostawy i uruchomienia sprzętu oraz podpisania protokołu odbioru.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63" w:rsidRDefault="00CE3563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2621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odać</w:t>
            </w:r>
          </w:p>
          <w:p w:rsidR="002621D7" w:rsidRPr="00463BAE" w:rsidRDefault="00CE3563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Pr="00463BAE" w:rsidRDefault="006F58DF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F58DF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Default="00C23C45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Pr="00463BAE" w:rsidRDefault="00C23C45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3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Szczegółowe warunki gwarancji zostaną określone w książkach gwarancyjnych urządzenia i winny  uwzględniać postanowienia warunków gwarancji, określone niniejszym załączniku i wzorze mowy. Książki gwarancyjne zostaną przekazane przez Wykonawcę Zamawiającemu w dniu podpisania protokołu odbioru przedmiotu zamówienia.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Pr="00463BAE" w:rsidRDefault="002621D7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Pr="00463BAE" w:rsidRDefault="006F58DF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F58DF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Default="00C23C45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Pr="00463BAE" w:rsidRDefault="00C23C45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3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Koszty przeglądów, napraw gwarancyjnych i części podlegających wymianie, dojazdów do Zamawiającego oraz robocizny mające związek z wykonywaniem tych czynności w okresie gwarancyjnym ponosi Wykonawca.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Pr="00463BAE" w:rsidRDefault="002621D7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Pr="00463BAE" w:rsidRDefault="006F58DF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F58DF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Default="00C23C45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Pr="00463BAE" w:rsidRDefault="00C23C45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3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Dopuszcza się dwie  naprawy gwarancyjne (będące konsekwencją ukrytej wady produkcyjnej tkwiącej w urządzeniu) tego samego elementu lub podzespołu w okresie gwarancji, po których całe urządzenie zostanie wymienione na nowe.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Pr="00463BAE" w:rsidRDefault="002621D7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DF" w:rsidRPr="00463BAE" w:rsidRDefault="006F58DF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84310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0" w:rsidRDefault="00584310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0" w:rsidRPr="00C23C45" w:rsidRDefault="00584310" w:rsidP="00E60A4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843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Maksymalny czas naprawy gwarancyjnej po przekroczeniu, którego przedłuża się gwarancję o czas przerwy w eksploatacji – 5 dni roboczych.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0" w:rsidRPr="00463BAE" w:rsidRDefault="002621D7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0" w:rsidRPr="00463BAE" w:rsidRDefault="00584310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23C45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5" w:rsidRDefault="00584310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5" w:rsidRPr="00463BAE" w:rsidRDefault="00C23C45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3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 przypadku naprawy urządzenia powyżej 5 dni roboczych wymagane jest wstawienie urządzenia zastępczego tej samej klasy na czas naprawy.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5" w:rsidRPr="00463BAE" w:rsidRDefault="002621D7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5" w:rsidRPr="00463BAE" w:rsidRDefault="00C23C45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23C45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5" w:rsidRDefault="00584310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5" w:rsidRPr="00463BAE" w:rsidRDefault="001359C7" w:rsidP="00E60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359C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 razie wystąpienia potrzeby, Zamawiający zwróci się do </w:t>
            </w:r>
            <w:r w:rsidRPr="001359C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Wykonawcy z prośbą o sporządzenie wykazu bieżących i okresowych zasad postępowania z urządzeniem w okresie  pogwarancyjnym.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5" w:rsidRPr="00463BAE" w:rsidRDefault="002621D7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5" w:rsidRPr="00463BAE" w:rsidRDefault="00C23C45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23C45" w:rsidRPr="00463BAE" w:rsidTr="004863B9">
        <w:trPr>
          <w:trHeight w:val="4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5" w:rsidRDefault="001359C7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78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C7" w:rsidRPr="001359C7" w:rsidRDefault="001359C7" w:rsidP="0013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35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Wykonawca w przypadku wyboru jego oferty zobowiązany jest przeprowadzić szkolenie osób spośród personelu Zamawiającego w zakresie zapewniającym bezpieczną obsługę przedmiotu zamówienia, w terminie uzgodnionym z Zamawiając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ym tj. nie później niż w ciągu 1</w:t>
            </w:r>
            <w:r w:rsidRPr="00135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 dni od daty podpisania protokołu odbioru w następującym wymiarze godzin:</w:t>
            </w:r>
          </w:p>
          <w:p w:rsidR="001359C7" w:rsidRPr="001359C7" w:rsidRDefault="001359C7" w:rsidP="0013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35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7 osób spośród personelu Zamawiającego po 2 godziny</w:t>
            </w:r>
          </w:p>
          <w:p w:rsidR="001359C7" w:rsidRPr="001359C7" w:rsidRDefault="001359C7" w:rsidP="0013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35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Szkolenia odbędą się w MCM sp. z o.o., w Miliczu przy ul. Grzybowej 1.</w:t>
            </w:r>
          </w:p>
          <w:p w:rsidR="00C23C45" w:rsidRPr="00463BAE" w:rsidRDefault="001359C7" w:rsidP="00135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35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godzin szkoleniowych ma gwarantować dostateczne przyswojenie wiedzy teoretycznej i praktycznej z zakresu obsługi urządzenia.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5" w:rsidRPr="00463BAE" w:rsidRDefault="002621D7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45" w:rsidRPr="00463BAE" w:rsidRDefault="00C23C45" w:rsidP="00E60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50CE5" w:rsidRDefault="00CE3563">
      <w:pPr>
        <w:rPr>
          <w:rFonts w:ascii="Arial" w:hAnsi="Arial" w:cs="Arial"/>
          <w:sz w:val="20"/>
          <w:szCs w:val="20"/>
        </w:rPr>
      </w:pPr>
    </w:p>
    <w:p w:rsidR="00AB7DDE" w:rsidRPr="00AB7DDE" w:rsidRDefault="00AB7DDE" w:rsidP="00AB7DDE">
      <w:pPr>
        <w:rPr>
          <w:rFonts w:ascii="Arial" w:hAnsi="Arial" w:cs="Arial"/>
          <w:sz w:val="20"/>
          <w:szCs w:val="20"/>
        </w:rPr>
      </w:pPr>
      <w:r w:rsidRPr="00AB7DDE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AB7DDE" w:rsidRPr="00AB7DDE" w:rsidRDefault="00AB7DDE" w:rsidP="00AB7DDE">
      <w:pPr>
        <w:rPr>
          <w:rFonts w:ascii="Arial" w:hAnsi="Arial" w:cs="Arial"/>
          <w:i/>
          <w:sz w:val="20"/>
          <w:szCs w:val="20"/>
        </w:rPr>
      </w:pPr>
      <w:r w:rsidRPr="00AB7DDE">
        <w:rPr>
          <w:rFonts w:ascii="Arial" w:hAnsi="Arial" w:cs="Arial"/>
          <w:i/>
          <w:sz w:val="20"/>
          <w:szCs w:val="20"/>
        </w:rPr>
        <w:t xml:space="preserve">                 miejsce, data                                                                    </w:t>
      </w:r>
    </w:p>
    <w:p w:rsidR="00AB7DDE" w:rsidRPr="00AB7DDE" w:rsidRDefault="00AB7DDE" w:rsidP="00AB7DDE">
      <w:pPr>
        <w:rPr>
          <w:rFonts w:ascii="Arial" w:hAnsi="Arial" w:cs="Arial"/>
          <w:i/>
          <w:sz w:val="20"/>
          <w:szCs w:val="20"/>
        </w:rPr>
      </w:pPr>
    </w:p>
    <w:p w:rsidR="00AB7DDE" w:rsidRPr="00AB7DDE" w:rsidRDefault="00AB7DDE" w:rsidP="00AB7D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B7DDE">
        <w:rPr>
          <w:rFonts w:ascii="Arial" w:hAnsi="Arial" w:cs="Arial"/>
          <w:i/>
          <w:sz w:val="20"/>
          <w:szCs w:val="20"/>
        </w:rPr>
        <w:t xml:space="preserve">   </w:t>
      </w:r>
      <w:r w:rsidRPr="00AB7DDE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AB7DDE" w:rsidRPr="00AB7DDE" w:rsidRDefault="00AB7DDE" w:rsidP="00AB7DDE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B7DDE">
        <w:rPr>
          <w:rFonts w:ascii="Arial" w:hAnsi="Arial" w:cs="Arial"/>
          <w:i/>
          <w:sz w:val="20"/>
          <w:szCs w:val="20"/>
        </w:rPr>
        <w:t xml:space="preserve">podpis i pieczęć osoby (osób) upoważnionej </w:t>
      </w:r>
    </w:p>
    <w:p w:rsidR="00AB7DDE" w:rsidRPr="00AB7DDE" w:rsidRDefault="00AB7DDE" w:rsidP="00AB7D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B7DDE">
        <w:rPr>
          <w:rFonts w:ascii="Arial" w:hAnsi="Arial" w:cs="Arial"/>
          <w:i/>
          <w:sz w:val="20"/>
          <w:szCs w:val="20"/>
        </w:rPr>
        <w:t>do reprezentowania Wykonawcy</w:t>
      </w:r>
    </w:p>
    <w:p w:rsidR="00AB7DDE" w:rsidRPr="00AB7DDE" w:rsidRDefault="00AB7DDE" w:rsidP="00AB7DDE">
      <w:pPr>
        <w:rPr>
          <w:rFonts w:ascii="Arial" w:hAnsi="Arial" w:cs="Arial"/>
          <w:sz w:val="20"/>
          <w:szCs w:val="20"/>
        </w:rPr>
      </w:pPr>
    </w:p>
    <w:p w:rsidR="00AB7DDE" w:rsidRPr="00463BAE" w:rsidRDefault="00AB7DDE">
      <w:pPr>
        <w:rPr>
          <w:rFonts w:ascii="Arial" w:hAnsi="Arial" w:cs="Arial"/>
          <w:sz w:val="20"/>
          <w:szCs w:val="20"/>
        </w:rPr>
      </w:pPr>
    </w:p>
    <w:sectPr w:rsidR="00AB7DDE" w:rsidRPr="00463B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A7" w:rsidRDefault="008F25A7" w:rsidP="008F25A7">
      <w:pPr>
        <w:spacing w:after="0" w:line="240" w:lineRule="auto"/>
      </w:pPr>
      <w:r>
        <w:separator/>
      </w:r>
    </w:p>
  </w:endnote>
  <w:endnote w:type="continuationSeparator" w:id="0">
    <w:p w:rsidR="008F25A7" w:rsidRDefault="008F25A7" w:rsidP="008F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165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5A7" w:rsidRDefault="008F25A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25A7" w:rsidRDefault="008F2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A7" w:rsidRDefault="008F25A7" w:rsidP="008F25A7">
      <w:pPr>
        <w:spacing w:after="0" w:line="240" w:lineRule="auto"/>
      </w:pPr>
      <w:r>
        <w:separator/>
      </w:r>
    </w:p>
  </w:footnote>
  <w:footnote w:type="continuationSeparator" w:id="0">
    <w:p w:rsidR="008F25A7" w:rsidRDefault="008F25A7" w:rsidP="008F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4E"/>
    <w:rsid w:val="0007705E"/>
    <w:rsid w:val="000B5481"/>
    <w:rsid w:val="001359C7"/>
    <w:rsid w:val="002621D7"/>
    <w:rsid w:val="002A5FD1"/>
    <w:rsid w:val="00463BAE"/>
    <w:rsid w:val="004863B9"/>
    <w:rsid w:val="00584310"/>
    <w:rsid w:val="006F58DF"/>
    <w:rsid w:val="007954ED"/>
    <w:rsid w:val="008F25A7"/>
    <w:rsid w:val="009A1039"/>
    <w:rsid w:val="00AB7DDE"/>
    <w:rsid w:val="00C23C45"/>
    <w:rsid w:val="00CE3563"/>
    <w:rsid w:val="00DD6632"/>
    <w:rsid w:val="00E60A4E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5A7"/>
  </w:style>
  <w:style w:type="paragraph" w:styleId="Stopka">
    <w:name w:val="footer"/>
    <w:basedOn w:val="Normalny"/>
    <w:link w:val="StopkaZnak"/>
    <w:uiPriority w:val="99"/>
    <w:unhideWhenUsed/>
    <w:rsid w:val="008F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5A7"/>
  </w:style>
  <w:style w:type="paragraph" w:styleId="Tekstdymka">
    <w:name w:val="Balloon Text"/>
    <w:basedOn w:val="Normalny"/>
    <w:link w:val="TekstdymkaZnak"/>
    <w:uiPriority w:val="99"/>
    <w:semiHidden/>
    <w:unhideWhenUsed/>
    <w:rsid w:val="008F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5A7"/>
  </w:style>
  <w:style w:type="paragraph" w:styleId="Stopka">
    <w:name w:val="footer"/>
    <w:basedOn w:val="Normalny"/>
    <w:link w:val="StopkaZnak"/>
    <w:uiPriority w:val="99"/>
    <w:unhideWhenUsed/>
    <w:rsid w:val="008F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5A7"/>
  </w:style>
  <w:style w:type="paragraph" w:styleId="Tekstdymka">
    <w:name w:val="Balloon Text"/>
    <w:basedOn w:val="Normalny"/>
    <w:link w:val="TekstdymkaZnak"/>
    <w:uiPriority w:val="99"/>
    <w:semiHidden/>
    <w:unhideWhenUsed/>
    <w:rsid w:val="008F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12</cp:revision>
  <cp:lastPrinted>2019-10-02T10:00:00Z</cp:lastPrinted>
  <dcterms:created xsi:type="dcterms:W3CDTF">2019-10-02T09:20:00Z</dcterms:created>
  <dcterms:modified xsi:type="dcterms:W3CDTF">2019-10-02T11:07:00Z</dcterms:modified>
</cp:coreProperties>
</file>