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9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</w:t>
      </w:r>
      <w:proofErr w:type="gramStart"/>
      <w:r w:rsidRPr="00A97341">
        <w:rPr>
          <w:b/>
          <w:bCs/>
          <w:lang w:eastAsia="pl-PL"/>
        </w:rPr>
        <w:t>:</w:t>
      </w:r>
      <w:r w:rsidRPr="00A97341">
        <w:rPr>
          <w:b/>
          <w:bCs/>
          <w:lang w:eastAsia="pl-PL"/>
        </w:rPr>
        <w:tab/>
      </w:r>
      <w:r w:rsidR="006377C0" w:rsidRPr="006377C0">
        <w:rPr>
          <w:b/>
          <w:bCs/>
          <w:lang w:eastAsia="pl-PL"/>
        </w:rPr>
        <w:t>MCM</w:t>
      </w:r>
      <w:proofErr w:type="gramEnd"/>
      <w:r w:rsidR="006377C0" w:rsidRPr="006377C0">
        <w:rPr>
          <w:b/>
          <w:bCs/>
          <w:lang w:eastAsia="pl-PL"/>
        </w:rPr>
        <w:t>/WSM/ZP1</w:t>
      </w:r>
      <w:r w:rsidR="004761B2">
        <w:rPr>
          <w:b/>
          <w:bCs/>
          <w:lang w:eastAsia="pl-PL"/>
        </w:rPr>
        <w:t>6</w:t>
      </w:r>
      <w:r w:rsidR="006377C0" w:rsidRPr="006377C0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Default="004C0129" w:rsidP="00A97341">
      <w:pPr>
        <w:spacing w:after="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001BD6"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3B335C" w:rsidRPr="00A97341" w:rsidRDefault="003B335C" w:rsidP="003B335C">
      <w:pPr>
        <w:spacing w:after="0"/>
        <w:jc w:val="center"/>
        <w:rPr>
          <w:b/>
          <w:bCs/>
          <w:lang w:eastAsia="pl-PL"/>
        </w:rPr>
      </w:pPr>
      <w:r w:rsidRPr="003B335C">
        <w:rPr>
          <w:b/>
          <w:bCs/>
          <w:lang w:eastAsia="pl-PL"/>
        </w:rPr>
        <w:t>SPE</w:t>
      </w:r>
      <w:r>
        <w:rPr>
          <w:b/>
          <w:bCs/>
          <w:lang w:eastAsia="pl-PL"/>
        </w:rPr>
        <w:t>C</w:t>
      </w:r>
      <w:r w:rsidRPr="003B335C">
        <w:rPr>
          <w:b/>
          <w:bCs/>
          <w:lang w:eastAsia="pl-PL"/>
        </w:rPr>
        <w:t>YFIKACJA  TECHNICZNA  OFEROWANEGO  SPRZĘTU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Default="00CE4D9E" w:rsidP="006377C0">
      <w:pPr>
        <w:spacing w:after="0"/>
        <w:jc w:val="center"/>
        <w:rPr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A16D33" w:rsidP="007E4A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Część Nr 1 - </w:t>
      </w:r>
      <w:r w:rsidR="004C0129" w:rsidRPr="005E599B">
        <w:rPr>
          <w:b/>
          <w:bCs/>
        </w:rPr>
        <w:t>DEFIBRYLATOR DWUFAZOWY</w:t>
      </w:r>
      <w:r w:rsidR="004C0129">
        <w:rPr>
          <w:b/>
          <w:bCs/>
        </w:rPr>
        <w:t xml:space="preserve"> – szt. 1.</w:t>
      </w:r>
    </w:p>
    <w:p w:rsidR="00C25228" w:rsidRDefault="00C25228" w:rsidP="007E4AD5">
      <w:pPr>
        <w:spacing w:after="0" w:line="240" w:lineRule="auto"/>
        <w:rPr>
          <w:b/>
          <w:bCs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0"/>
        <w:gridCol w:w="3240"/>
      </w:tblGrid>
      <w:tr w:rsidR="00F666AA" w:rsidRPr="005E599B" w:rsidTr="006A3984">
        <w:tc>
          <w:tcPr>
            <w:tcW w:w="9360" w:type="dxa"/>
            <w:gridSpan w:val="2"/>
          </w:tcPr>
          <w:p w:rsidR="00F666AA" w:rsidRPr="005E599B" w:rsidRDefault="00F666AA" w:rsidP="006A3984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WYMAGANE PARAMETRY TECHNICZNE</w:t>
            </w:r>
          </w:p>
        </w:tc>
      </w:tr>
      <w:tr w:rsidR="00F666AA" w:rsidRPr="005E599B" w:rsidTr="006A3984">
        <w:tc>
          <w:tcPr>
            <w:tcW w:w="9360" w:type="dxa"/>
            <w:gridSpan w:val="2"/>
          </w:tcPr>
          <w:p w:rsidR="00F666AA" w:rsidRPr="005E599B" w:rsidRDefault="00F666AA" w:rsidP="00814C00">
            <w:pPr>
              <w:spacing w:after="0" w:line="240" w:lineRule="auto"/>
              <w:jc w:val="center"/>
            </w:pPr>
            <w:r w:rsidRPr="005E599B">
              <w:t>DEFIBRYLATOR DWUFAZOWY</w:t>
            </w:r>
            <w:r w:rsidR="00814C00">
              <w:t xml:space="preserve"> – 1 szt.</w:t>
            </w:r>
          </w:p>
        </w:tc>
      </w:tr>
      <w:tr w:rsidR="00F666AA" w:rsidRPr="005E599B" w:rsidTr="006A3984">
        <w:tc>
          <w:tcPr>
            <w:tcW w:w="6120" w:type="dxa"/>
            <w:vAlign w:val="center"/>
          </w:tcPr>
          <w:p w:rsidR="00F666AA" w:rsidRPr="005E599B" w:rsidRDefault="00F666AA" w:rsidP="006A3984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Oferent/ Producent</w:t>
            </w:r>
            <w:r w:rsidR="00E5348E">
              <w:rPr>
                <w:lang w:eastAsia="pl-PL"/>
              </w:rPr>
              <w:t xml:space="preserve"> (podać)</w:t>
            </w:r>
          </w:p>
        </w:tc>
        <w:tc>
          <w:tcPr>
            <w:tcW w:w="3240" w:type="dxa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5E599B" w:rsidTr="006A3984">
        <w:tc>
          <w:tcPr>
            <w:tcW w:w="6120" w:type="dxa"/>
            <w:vAlign w:val="center"/>
          </w:tcPr>
          <w:p w:rsidR="00F666AA" w:rsidRPr="005E599B" w:rsidRDefault="00F666AA" w:rsidP="006A3984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Nazwa i typ respiratora</w:t>
            </w:r>
            <w:r w:rsidR="00E5348E">
              <w:rPr>
                <w:lang w:eastAsia="pl-PL"/>
              </w:rPr>
              <w:t>(podać)</w:t>
            </w:r>
          </w:p>
        </w:tc>
        <w:tc>
          <w:tcPr>
            <w:tcW w:w="3240" w:type="dxa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5E599B" w:rsidTr="006A3984">
        <w:trPr>
          <w:trHeight w:val="375"/>
        </w:trPr>
        <w:tc>
          <w:tcPr>
            <w:tcW w:w="6120" w:type="dxa"/>
            <w:vAlign w:val="center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  <w:r w:rsidRPr="005E599B">
              <w:t>Kraj pochodzenia</w:t>
            </w:r>
            <w:r w:rsidR="00E5348E">
              <w:t xml:space="preserve"> </w:t>
            </w:r>
            <w:r w:rsidR="00E5348E">
              <w:rPr>
                <w:lang w:eastAsia="pl-PL"/>
              </w:rPr>
              <w:t>(podać)</w:t>
            </w:r>
          </w:p>
        </w:tc>
        <w:tc>
          <w:tcPr>
            <w:tcW w:w="3240" w:type="dxa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5E599B" w:rsidTr="006A3984">
        <w:tc>
          <w:tcPr>
            <w:tcW w:w="6120" w:type="dxa"/>
            <w:vAlign w:val="center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  <w:r w:rsidRPr="005E599B">
              <w:t>Fabrycznie nowy, rok produkcji</w:t>
            </w:r>
            <w:r w:rsidR="00E5348E">
              <w:t xml:space="preserve"> </w:t>
            </w:r>
            <w:r w:rsidR="00E5348E">
              <w:rPr>
                <w:lang w:eastAsia="pl-PL"/>
              </w:rPr>
              <w:t>(podać)</w:t>
            </w:r>
          </w:p>
        </w:tc>
        <w:tc>
          <w:tcPr>
            <w:tcW w:w="3240" w:type="dxa"/>
          </w:tcPr>
          <w:p w:rsidR="00F666AA" w:rsidRPr="005E599B" w:rsidRDefault="00F666AA" w:rsidP="006A3984">
            <w:pPr>
              <w:spacing w:after="0" w:line="240" w:lineRule="auto"/>
              <w:jc w:val="center"/>
            </w:pPr>
          </w:p>
        </w:tc>
      </w:tr>
    </w:tbl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94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5305"/>
        <w:gridCol w:w="1655"/>
        <w:gridCol w:w="1655"/>
      </w:tblGrid>
      <w:tr w:rsidR="00A26920" w:rsidRPr="00E72663" w:rsidTr="00A26920">
        <w:trPr>
          <w:trHeight w:val="644"/>
        </w:trPr>
        <w:tc>
          <w:tcPr>
            <w:tcW w:w="815" w:type="dxa"/>
          </w:tcPr>
          <w:p w:rsidR="00A26920" w:rsidRPr="005E599B" w:rsidRDefault="00A26920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L.</w:t>
            </w:r>
            <w:proofErr w:type="gramStart"/>
            <w:r w:rsidRPr="005E599B">
              <w:rPr>
                <w:b/>
                <w:bCs/>
              </w:rPr>
              <w:t>p</w:t>
            </w:r>
            <w:proofErr w:type="gramEnd"/>
            <w:r w:rsidRPr="005E599B">
              <w:rPr>
                <w:b/>
                <w:bCs/>
              </w:rPr>
              <w:t>.</w:t>
            </w:r>
          </w:p>
        </w:tc>
        <w:tc>
          <w:tcPr>
            <w:tcW w:w="5305" w:type="dxa"/>
            <w:vAlign w:val="center"/>
          </w:tcPr>
          <w:p w:rsidR="00A26920" w:rsidRPr="005E599B" w:rsidRDefault="00A26920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pacing w:after="0" w:line="240" w:lineRule="auto"/>
              <w:jc w:val="center"/>
            </w:pPr>
            <w:r>
              <w:t>Parametr oferowany</w:t>
            </w:r>
          </w:p>
        </w:tc>
      </w:tr>
      <w:tr w:rsidR="00A26920" w:rsidRPr="00E72663" w:rsidTr="00A26920">
        <w:trPr>
          <w:trHeight w:val="344"/>
        </w:trPr>
        <w:tc>
          <w:tcPr>
            <w:tcW w:w="815" w:type="dxa"/>
            <w:vAlign w:val="center"/>
          </w:tcPr>
          <w:p w:rsidR="00A26920" w:rsidRPr="00475C32" w:rsidRDefault="00A26920" w:rsidP="00475C3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5305" w:type="dxa"/>
            <w:vAlign w:val="center"/>
          </w:tcPr>
          <w:p w:rsidR="00A26920" w:rsidRPr="005E599B" w:rsidRDefault="00A26920" w:rsidP="007E4AD5">
            <w:pPr>
              <w:spacing w:after="0" w:line="240" w:lineRule="auto"/>
            </w:pPr>
            <w:r w:rsidRPr="005E599B">
              <w:t>Certyfikat CE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pacing w:after="0" w:line="240" w:lineRule="auto"/>
              <w:jc w:val="center"/>
            </w:pPr>
            <w:r w:rsidRPr="005E599B">
              <w:t xml:space="preserve">Tak 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Defibrylator dwufazowy z moż</w:t>
            </w:r>
            <w:r>
              <w:t>liwością wykonania defibrylacji i</w:t>
            </w:r>
            <w:r w:rsidRPr="005E599B">
              <w:t xml:space="preserve"> kardio</w:t>
            </w:r>
            <w:r>
              <w:t>wersji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Defibrylacja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dorosłych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i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dzieci</w:t>
            </w:r>
            <w:proofErr w:type="spellEnd"/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Ekran monitora: kolorowy, przekątna min. 6,5 cala, wykonana w techn</w:t>
            </w:r>
            <w:r>
              <w:t>ologii LCD TFT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5E599B">
              <w:rPr>
                <w:color w:val="000000"/>
                <w:lang w:val="en-US"/>
              </w:rPr>
              <w:t>Rozdzielczość</w:t>
            </w:r>
            <w:proofErr w:type="spellEnd"/>
            <w:r w:rsidRPr="005E599B">
              <w:rPr>
                <w:color w:val="000000"/>
                <w:lang w:val="en-US"/>
              </w:rPr>
              <w:t xml:space="preserve"> min..: 640 x 480 </w:t>
            </w:r>
            <w:proofErr w:type="spellStart"/>
            <w:r w:rsidRPr="005E599B">
              <w:rPr>
                <w:color w:val="000000"/>
                <w:lang w:val="en-US"/>
              </w:rPr>
              <w:t>pikseli</w:t>
            </w:r>
            <w:proofErr w:type="spellEnd"/>
            <w:r w:rsidRPr="005E599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Zasilanie z sieci 230 V/50Hz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Dwufazowa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fala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defibrylacji</w:t>
            </w:r>
            <w:proofErr w:type="spellEnd"/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>Energia wstrząsu min. od 1 do 300 J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 xml:space="preserve">Tak 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Energia dostępna na min. 19 poziomach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 xml:space="preserve">Czas ładowania do pełnej energii &lt;  10 </w:t>
            </w:r>
            <w:proofErr w:type="spellStart"/>
            <w:r w:rsidRPr="005E599B">
              <w:t>sek</w:t>
            </w:r>
            <w:proofErr w:type="spellEnd"/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Tak, opisać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firstLine="0"/>
            </w:pPr>
            <w:r w:rsidRPr="005E599B">
              <w:t xml:space="preserve">Defibrylacja ręczna – prowadzona przez twarde łyżki zewnętrzne dla dorosłych i zintegrowane mniejsze łyżki dla dzieci 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right="12"/>
              <w:jc w:val="right"/>
            </w:pPr>
          </w:p>
        </w:tc>
        <w:tc>
          <w:tcPr>
            <w:tcW w:w="5305" w:type="dxa"/>
          </w:tcPr>
          <w:p w:rsidR="00A26920" w:rsidRPr="005E599B" w:rsidRDefault="00A26920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right="12" w:firstLine="0"/>
            </w:pPr>
            <w:r w:rsidRPr="005E599B">
              <w:t xml:space="preserve">Defibrylacja synchroniczna (kardiowersji), prowadzona przy </w:t>
            </w:r>
            <w:proofErr w:type="gramStart"/>
            <w:r w:rsidRPr="005E599B">
              <w:t>użyci łyżek</w:t>
            </w:r>
            <w:proofErr w:type="gramEnd"/>
            <w:r w:rsidRPr="005E599B">
              <w:t xml:space="preserve"> defibrylatora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E112EA" w:rsidRDefault="00A26920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E112EA">
              <w:t xml:space="preserve">Monitorowanie EKG –  poprzez kabel pacjenta 3 odprowadzeniowy </w:t>
            </w:r>
            <w:proofErr w:type="gramStart"/>
            <w:r w:rsidRPr="00E112EA">
              <w:t>umożliwiający obserwację</w:t>
            </w:r>
            <w:proofErr w:type="gramEnd"/>
            <w:r w:rsidRPr="00E112EA">
              <w:t xml:space="preserve"> 6 </w:t>
            </w:r>
            <w:proofErr w:type="spellStart"/>
            <w:r w:rsidRPr="00E112EA">
              <w:t>odprowadzeń</w:t>
            </w:r>
            <w:proofErr w:type="spellEnd"/>
            <w:r w:rsidRPr="00E112EA">
              <w:t xml:space="preserve"> EKG jednocześnie (I, II, III, </w:t>
            </w:r>
            <w:proofErr w:type="spellStart"/>
            <w:r w:rsidRPr="00E112EA">
              <w:t>aVr</w:t>
            </w:r>
            <w:proofErr w:type="spellEnd"/>
            <w:r w:rsidRPr="00E112EA">
              <w:t xml:space="preserve">, </w:t>
            </w:r>
            <w:proofErr w:type="spellStart"/>
            <w:r w:rsidRPr="00E112EA">
              <w:t>aVl</w:t>
            </w:r>
            <w:proofErr w:type="spellEnd"/>
            <w:r w:rsidRPr="00E112EA">
              <w:t xml:space="preserve">, </w:t>
            </w:r>
            <w:proofErr w:type="spellStart"/>
            <w:r w:rsidRPr="00E112EA">
              <w:t>aVf</w:t>
            </w:r>
            <w:proofErr w:type="spellEnd"/>
            <w:r w:rsidRPr="00E112EA">
              <w:t>),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Zakres pomiaru HR min. od 15 do 300 u./</w:t>
            </w:r>
            <w:proofErr w:type="gramStart"/>
            <w:r w:rsidRPr="005E599B">
              <w:t>min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 xml:space="preserve">Możliwość ustawienia przez użytkownika granic alarmowych i ich dowolnej zmiany w zakresie min. od 15 </w:t>
            </w:r>
            <w:r w:rsidRPr="005E599B">
              <w:lastRenderedPageBreak/>
              <w:t>do 300 u./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wizualny i dźwiękowy z możliwością zawieszenia i wyłączenia alarmu.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E112EA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Pomiar oddechu w zakresie min. </w:t>
            </w:r>
            <w:r>
              <w:t>5</w:t>
            </w:r>
            <w:r w:rsidRPr="005E599B">
              <w:t xml:space="preserve">-120 oddechów/min. z prezentacją </w:t>
            </w:r>
            <w:proofErr w:type="gramStart"/>
            <w:r w:rsidRPr="005E599B">
              <w:t>krzywej oddechu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C1512F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>
              <w:t xml:space="preserve">Alarm bezdechu w zakresie min. </w:t>
            </w:r>
            <w:r w:rsidRPr="00E112EA">
              <w:t xml:space="preserve">10-40 </w:t>
            </w:r>
            <w:r w:rsidRPr="005E599B">
              <w:t>s.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Wbudowany rejestrator termiczny</w:t>
            </w:r>
            <w:r>
              <w:t xml:space="preserve"> </w:t>
            </w:r>
            <w:r w:rsidRPr="005E599B">
              <w:t>z wydrukiem na papierze termicznym</w:t>
            </w:r>
            <w:r>
              <w:t xml:space="preserve"> </w:t>
            </w:r>
            <w:r w:rsidRPr="005E599B">
              <w:t>o szerokości min. 50 mm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proofErr w:type="gramStart"/>
            <w:r w:rsidRPr="005E599B">
              <w:t>Automatyczny auto-test</w:t>
            </w:r>
            <w:proofErr w:type="gramEnd"/>
            <w:r w:rsidRPr="005E599B">
              <w:t xml:space="preserve"> wykonywany bez udziału użytkownika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Zapamiętywanie w pamięci defibrylatora fali EKG i krzywej </w:t>
            </w:r>
            <w:proofErr w:type="spellStart"/>
            <w:r w:rsidRPr="005E599B">
              <w:t>pletyzmograficznej</w:t>
            </w:r>
            <w:proofErr w:type="spellEnd"/>
            <w:r w:rsidRPr="005E599B">
              <w:t xml:space="preserve"> z ostatnich 6 godzin monitorowania oraz min. 500 zdarzeń defibrylator z możliwością ko</w:t>
            </w:r>
            <w:r>
              <w:t>piowania tych danych na pamięci zewnętrznej</w:t>
            </w:r>
            <w:r w:rsidRPr="005E599B">
              <w:t xml:space="preserve"> i odtwarzania w komputerze użytkownika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snapToGrid w:val="0"/>
              <w:spacing w:before="60" w:after="0" w:line="240" w:lineRule="auto"/>
            </w:pPr>
            <w:r w:rsidRPr="005E599B">
              <w:t>Zasilanie z akumulatora wewnętrznego z</w:t>
            </w:r>
            <w:r>
              <w:t xml:space="preserve"> </w:t>
            </w:r>
            <w:r w:rsidRPr="005E599B">
              <w:t>możliwością min. 1,5 godzinnego monitorowania pacjenta lub możliwość wykonania min. 50 defibrylacji maksymalną energią z zasilania akumulatorowego.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nieograniczonego w czasie monitorowania i wykonania dowolnej liczby defibrylacji z zasilania sieciowego.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Ciężar samego defibrylatora z wbudowanymi parametrami   wraz z akumulatorem i łyżkami twardymi dla dzieci i dorosłych poniżej 7 kg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snapToGrid w:val="0"/>
              <w:spacing w:before="60" w:after="0" w:line="240" w:lineRule="auto"/>
            </w:pPr>
            <w:r w:rsidRPr="005E599B">
              <w:t>Możliwość rozbudowy defibrylatora o:</w:t>
            </w:r>
          </w:p>
          <w:p w:rsidR="00A26920" w:rsidRDefault="00A26920" w:rsidP="007E4AD5">
            <w:pPr>
              <w:snapToGrid w:val="0"/>
              <w:spacing w:before="60" w:after="0" w:line="240" w:lineRule="auto"/>
            </w:pPr>
            <w:r w:rsidRPr="005E599B">
              <w:t>- moduł pomiaru SpO</w:t>
            </w:r>
            <w:r w:rsidRPr="005E599B">
              <w:rPr>
                <w:vertAlign w:val="subscript"/>
              </w:rPr>
              <w:t>2</w:t>
            </w:r>
            <w:r w:rsidRPr="005E599B">
              <w:br/>
              <w:t>- moduł pomiaru NIBP</w:t>
            </w:r>
          </w:p>
          <w:p w:rsidR="00A26920" w:rsidRPr="005E599B" w:rsidRDefault="00A26920" w:rsidP="007E4AD5">
            <w:pPr>
              <w:snapToGrid w:val="0"/>
              <w:spacing w:before="60" w:after="0" w:line="240" w:lineRule="auto"/>
            </w:pPr>
            <w:r>
              <w:t>- moduł stymulacji przezskórnej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Gwarancja  na  sprzęt min. 24 miesiące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5E599B">
              <w:rPr>
                <w:color w:val="000000"/>
              </w:rPr>
              <w:t xml:space="preserve">nstrukcja w języku polskim, szkolenie dla personelu OIT 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proofErr w:type="gramStart"/>
            <w:r w:rsidRPr="005E599B">
              <w:rPr>
                <w:color w:val="000000"/>
                <w:lang w:eastAsia="pl-PL"/>
              </w:rPr>
              <w:t>serwis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gwarancyjny i pogwarancyjny zapewnią firmy wskazane przez Wykonawcę</w:t>
            </w:r>
          </w:p>
          <w:p w:rsidR="00A26920" w:rsidRPr="005E599B" w:rsidRDefault="00A26920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A26920" w:rsidRPr="005E599B" w:rsidRDefault="00A26920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</w:pPr>
            <w:r w:rsidRPr="005E599B">
              <w:t>Naprawy i koszty serwisu w okresie gwarancyjnym bezpłatne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Serwis dostępny na terenie Polski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5E599B" w:rsidRDefault="00A26920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after="0" w:line="240" w:lineRule="auto"/>
              <w:ind w:right="12"/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Koszt przeglądu po okresie gwarancyjnym.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  <w:tr w:rsidR="00A26920" w:rsidRPr="00E72663" w:rsidTr="00A26920">
        <w:tc>
          <w:tcPr>
            <w:tcW w:w="815" w:type="dxa"/>
          </w:tcPr>
          <w:p w:rsidR="00A26920" w:rsidRPr="00475C32" w:rsidRDefault="00A26920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A26920" w:rsidRPr="005E599B" w:rsidRDefault="00A26920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Koszt dostawy sprzętu ponosi dostawca.</w:t>
            </w:r>
          </w:p>
        </w:tc>
        <w:tc>
          <w:tcPr>
            <w:tcW w:w="1655" w:type="dxa"/>
            <w:vAlign w:val="center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655" w:type="dxa"/>
          </w:tcPr>
          <w:p w:rsidR="00A26920" w:rsidRPr="005E599B" w:rsidRDefault="00A26920" w:rsidP="007E4AD5">
            <w:pPr>
              <w:snapToGrid w:val="0"/>
              <w:spacing w:after="0" w:line="240" w:lineRule="auto"/>
              <w:jc w:val="center"/>
            </w:pPr>
          </w:p>
        </w:tc>
      </w:tr>
    </w:tbl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A16D33" w:rsidRP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>Uwaga!</w:t>
      </w:r>
    </w:p>
    <w:p w:rsid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 xml:space="preserve">Przedstawione dane techniczne należy potwierdzić odpowiednimi materiałami </w:t>
      </w:r>
      <w:proofErr w:type="gramStart"/>
      <w:r w:rsidRPr="00A16D33">
        <w:rPr>
          <w:b/>
          <w:bCs/>
        </w:rPr>
        <w:t>informacyjnym                       producenta</w:t>
      </w:r>
      <w:proofErr w:type="gramEnd"/>
      <w:r w:rsidRPr="00A16D33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7F38A2" w:rsidRDefault="007F38A2" w:rsidP="00A16D33">
      <w:pPr>
        <w:spacing w:after="0" w:line="240" w:lineRule="auto"/>
        <w:jc w:val="both"/>
        <w:rPr>
          <w:b/>
          <w:bCs/>
        </w:rPr>
      </w:pPr>
    </w:p>
    <w:p w:rsidR="007F38A2" w:rsidRPr="00353182" w:rsidRDefault="007F38A2" w:rsidP="007F38A2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7F38A2" w:rsidRPr="00E72E84" w:rsidRDefault="007F38A2" w:rsidP="007F38A2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7F38A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7F38A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7F38A2" w:rsidRPr="0035318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7F38A2" w:rsidRPr="00353182" w:rsidRDefault="007F38A2" w:rsidP="007F38A2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7F38A2" w:rsidRDefault="007F38A2" w:rsidP="007F38A2">
      <w:pPr>
        <w:tabs>
          <w:tab w:val="left" w:pos="5670"/>
        </w:tabs>
        <w:spacing w:after="0" w:line="240" w:lineRule="auto"/>
        <w:jc w:val="both"/>
      </w:pPr>
    </w:p>
    <w:p w:rsidR="007F38A2" w:rsidRPr="0093123D" w:rsidRDefault="007F38A2" w:rsidP="007F38A2">
      <w:pPr>
        <w:tabs>
          <w:tab w:val="left" w:pos="5670"/>
        </w:tabs>
        <w:spacing w:after="0" w:line="240" w:lineRule="auto"/>
        <w:jc w:val="both"/>
      </w:pPr>
      <w:r>
        <w:t xml:space="preserve">     </w:t>
      </w: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7F38A2" w:rsidRDefault="007F38A2" w:rsidP="007F38A2">
      <w:pPr>
        <w:spacing w:after="0" w:line="240" w:lineRule="auto"/>
        <w:ind w:right="-2"/>
        <w:rPr>
          <w:lang w:eastAsia="pl-PL"/>
        </w:rPr>
      </w:pPr>
    </w:p>
    <w:p w:rsidR="007F38A2" w:rsidRPr="00353182" w:rsidRDefault="007F38A2" w:rsidP="007F38A2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7F38A2" w:rsidRPr="00353182" w:rsidRDefault="007F38A2" w:rsidP="007F38A2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7F38A2" w:rsidRPr="00353182" w:rsidRDefault="007F38A2" w:rsidP="007F38A2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7F38A2" w:rsidRDefault="007F38A2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A26920" w:rsidRDefault="00A26920" w:rsidP="00A16D33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 w:rsidR="007C52C3">
        <w:rPr>
          <w:b/>
          <w:bCs/>
          <w:lang w:eastAsia="pl-PL"/>
        </w:rPr>
        <w:t xml:space="preserve"> </w:t>
      </w:r>
      <w:r w:rsidR="00E37239" w:rsidRPr="00E37239">
        <w:rPr>
          <w:b/>
          <w:bCs/>
          <w:lang w:eastAsia="pl-PL"/>
        </w:rPr>
        <w:t>MCM/WSM/ZP1</w:t>
      </w:r>
      <w:r w:rsidR="004761B2">
        <w:rPr>
          <w:b/>
          <w:bCs/>
          <w:lang w:eastAsia="pl-PL"/>
        </w:rPr>
        <w:t>6</w:t>
      </w:r>
      <w:bookmarkStart w:id="0" w:name="_GoBack"/>
      <w:bookmarkEnd w:id="0"/>
      <w:r w:rsidR="00E37239" w:rsidRPr="00E37239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001BD6"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F666AA" w:rsidRDefault="00F666AA" w:rsidP="007E4AD5">
      <w:pPr>
        <w:spacing w:after="0" w:line="240" w:lineRule="auto"/>
        <w:rPr>
          <w:b/>
          <w:bCs/>
          <w:lang w:eastAsia="pl-PL"/>
        </w:rPr>
      </w:pPr>
    </w:p>
    <w:p w:rsidR="00F666AA" w:rsidRPr="00A97341" w:rsidRDefault="00F666AA" w:rsidP="00F666AA">
      <w:pPr>
        <w:spacing w:after="0"/>
        <w:jc w:val="center"/>
        <w:rPr>
          <w:b/>
          <w:bCs/>
          <w:lang w:eastAsia="pl-PL"/>
        </w:rPr>
      </w:pPr>
      <w:r w:rsidRPr="003B335C">
        <w:rPr>
          <w:b/>
          <w:bCs/>
          <w:lang w:eastAsia="pl-PL"/>
        </w:rPr>
        <w:t>SPE</w:t>
      </w:r>
      <w:r>
        <w:rPr>
          <w:b/>
          <w:bCs/>
          <w:lang w:eastAsia="pl-PL"/>
        </w:rPr>
        <w:t>C</w:t>
      </w:r>
      <w:r w:rsidRPr="003B335C">
        <w:rPr>
          <w:b/>
          <w:bCs/>
          <w:lang w:eastAsia="pl-PL"/>
        </w:rPr>
        <w:t>YFIKACJA  TECHNICZNA  OFEROWANEGO  SPRZĘTU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CE4D9E" w:rsidRPr="00A97341" w:rsidRDefault="00CE4D9E" w:rsidP="00CE4D9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A16D33" w:rsidP="007E4A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Część Nr 2 - </w:t>
      </w:r>
      <w:r w:rsidR="004C0129" w:rsidRPr="007E4AD5">
        <w:rPr>
          <w:b/>
          <w:bCs/>
        </w:rPr>
        <w:t>MONITOR FUNKCJI ŻYCIOWYCH – 7 SZTUK</w:t>
      </w:r>
    </w:p>
    <w:p w:rsidR="00F666AA" w:rsidRDefault="00F666AA" w:rsidP="007E4AD5">
      <w:pPr>
        <w:spacing w:after="0" w:line="240" w:lineRule="auto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C25228" w:rsidRPr="0002278A" w:rsidTr="006A3984">
        <w:tc>
          <w:tcPr>
            <w:tcW w:w="9286" w:type="dxa"/>
            <w:gridSpan w:val="2"/>
          </w:tcPr>
          <w:p w:rsidR="00C25228" w:rsidRDefault="00C25228" w:rsidP="006A3984">
            <w:pPr>
              <w:spacing w:after="0" w:line="240" w:lineRule="auto"/>
              <w:jc w:val="center"/>
            </w:pPr>
            <w:r w:rsidRPr="005E599B">
              <w:rPr>
                <w:b/>
                <w:bCs/>
              </w:rPr>
              <w:t>WYMAGANE PARAMETRY TECHNICZNE</w:t>
            </w:r>
          </w:p>
        </w:tc>
      </w:tr>
      <w:tr w:rsidR="00F666AA" w:rsidRPr="0002278A" w:rsidTr="006A3984">
        <w:tc>
          <w:tcPr>
            <w:tcW w:w="9286" w:type="dxa"/>
            <w:gridSpan w:val="2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  <w:r>
              <w:t>MONITOR FUNKCJI ŻYCIOWYCH – 7 SZTUK</w:t>
            </w:r>
          </w:p>
        </w:tc>
      </w:tr>
      <w:tr w:rsidR="00F666AA" w:rsidRPr="0002278A" w:rsidTr="006A3984">
        <w:tc>
          <w:tcPr>
            <w:tcW w:w="567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  <w:r w:rsidRPr="0002278A">
              <w:t>Producent</w:t>
            </w:r>
            <w:r w:rsidR="00147B7F">
              <w:t xml:space="preserve"> </w:t>
            </w:r>
            <w:r w:rsidR="00147B7F">
              <w:rPr>
                <w:lang w:eastAsia="pl-PL"/>
              </w:rPr>
              <w:t>(podać)</w:t>
            </w:r>
          </w:p>
        </w:tc>
        <w:tc>
          <w:tcPr>
            <w:tcW w:w="361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02278A" w:rsidTr="006A3984">
        <w:tc>
          <w:tcPr>
            <w:tcW w:w="567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  <w:r>
              <w:t>Kraj pochodzenia</w:t>
            </w:r>
            <w:r w:rsidR="00147B7F">
              <w:t xml:space="preserve"> </w:t>
            </w:r>
            <w:r w:rsidR="00147B7F">
              <w:rPr>
                <w:lang w:eastAsia="pl-PL"/>
              </w:rPr>
              <w:t>(podać)</w:t>
            </w:r>
          </w:p>
        </w:tc>
        <w:tc>
          <w:tcPr>
            <w:tcW w:w="361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02278A" w:rsidTr="006A3984">
        <w:tc>
          <w:tcPr>
            <w:tcW w:w="567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  <w:r w:rsidRPr="0002278A">
              <w:t>Oferowany model</w:t>
            </w:r>
            <w:r w:rsidR="00147B7F">
              <w:t xml:space="preserve"> </w:t>
            </w:r>
            <w:r w:rsidR="00147B7F">
              <w:rPr>
                <w:lang w:eastAsia="pl-PL"/>
              </w:rPr>
              <w:t>(podać)</w:t>
            </w:r>
          </w:p>
        </w:tc>
        <w:tc>
          <w:tcPr>
            <w:tcW w:w="361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</w:p>
        </w:tc>
      </w:tr>
      <w:tr w:rsidR="00F666AA" w:rsidRPr="0002278A" w:rsidTr="006A3984">
        <w:tc>
          <w:tcPr>
            <w:tcW w:w="567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  <w:r w:rsidRPr="0002278A">
              <w:t>Rok produkcji</w:t>
            </w:r>
            <w:r w:rsidR="00147B7F">
              <w:t xml:space="preserve"> </w:t>
            </w:r>
            <w:r w:rsidR="00147B7F">
              <w:rPr>
                <w:lang w:eastAsia="pl-PL"/>
              </w:rPr>
              <w:t>(podać)</w:t>
            </w:r>
          </w:p>
        </w:tc>
        <w:tc>
          <w:tcPr>
            <w:tcW w:w="3613" w:type="dxa"/>
          </w:tcPr>
          <w:p w:rsidR="00F666AA" w:rsidRPr="0002278A" w:rsidRDefault="00F666AA" w:rsidP="006A3984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939"/>
        <w:gridCol w:w="1356"/>
        <w:gridCol w:w="1193"/>
      </w:tblGrid>
      <w:tr w:rsidR="00F666AA" w:rsidRPr="00D74708" w:rsidTr="00F666AA">
        <w:trPr>
          <w:trHeight w:val="562"/>
        </w:trPr>
        <w:tc>
          <w:tcPr>
            <w:tcW w:w="796" w:type="dxa"/>
          </w:tcPr>
          <w:p w:rsidR="00F666AA" w:rsidRPr="00D74708" w:rsidRDefault="00F666AA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939" w:type="dxa"/>
            <w:vAlign w:val="center"/>
          </w:tcPr>
          <w:p w:rsidR="00F666AA" w:rsidRPr="00D74708" w:rsidRDefault="00F666AA" w:rsidP="004A7DCB">
            <w:pPr>
              <w:spacing w:after="0" w:line="240" w:lineRule="auto"/>
              <w:jc w:val="center"/>
            </w:pPr>
            <w:r w:rsidRPr="00D74708">
              <w:t>Dane techniczne:</w:t>
            </w:r>
          </w:p>
        </w:tc>
        <w:tc>
          <w:tcPr>
            <w:tcW w:w="1356" w:type="dxa"/>
          </w:tcPr>
          <w:p w:rsidR="00F666AA" w:rsidRPr="00D74708" w:rsidRDefault="00F666AA" w:rsidP="007E4AD5">
            <w:pPr>
              <w:spacing w:after="0" w:line="240" w:lineRule="auto"/>
              <w:jc w:val="center"/>
            </w:pPr>
            <w:r w:rsidRPr="00D74708">
              <w:t>Parametr wymagany</w:t>
            </w:r>
          </w:p>
        </w:tc>
        <w:tc>
          <w:tcPr>
            <w:tcW w:w="1193" w:type="dxa"/>
          </w:tcPr>
          <w:p w:rsidR="00F666AA" w:rsidRPr="00D74708" w:rsidRDefault="00F666AA" w:rsidP="007E4AD5">
            <w:pPr>
              <w:spacing w:after="0" w:line="240" w:lineRule="auto"/>
              <w:jc w:val="center"/>
            </w:pPr>
            <w:r>
              <w:t>Parametr oferowany</w:t>
            </w:r>
          </w:p>
        </w:tc>
      </w:tr>
      <w:tr w:rsidR="00F666AA" w:rsidRPr="00D74708" w:rsidTr="00F666AA">
        <w:trPr>
          <w:trHeight w:val="349"/>
        </w:trPr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  <w:rPr>
                <w:b/>
                <w:bCs/>
              </w:rPr>
            </w:pPr>
            <w:r w:rsidRPr="0093793A">
              <w:t>Aparat dopuszczony do użytkowania na terytorium RP.</w:t>
            </w:r>
          </w:p>
        </w:tc>
        <w:tc>
          <w:tcPr>
            <w:tcW w:w="1356" w:type="dxa"/>
            <w:vAlign w:val="center"/>
          </w:tcPr>
          <w:p w:rsidR="00F666AA" w:rsidRPr="00D74708" w:rsidRDefault="00F666AA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1193" w:type="dxa"/>
          </w:tcPr>
          <w:p w:rsidR="00F666AA" w:rsidRPr="00D74708" w:rsidRDefault="00F666AA" w:rsidP="007E4AD5">
            <w:pPr>
              <w:spacing w:after="0" w:line="240" w:lineRule="auto"/>
              <w:jc w:val="center"/>
            </w:pPr>
          </w:p>
        </w:tc>
      </w:tr>
      <w:tr w:rsidR="00F666AA" w:rsidRPr="00D74708" w:rsidTr="00F666AA">
        <w:trPr>
          <w:trHeight w:val="349"/>
        </w:trPr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before="100" w:beforeAutospacing="1" w:after="0" w:line="240" w:lineRule="auto"/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 xml:space="preserve">Kardiomonitor stacjonarno-transportowy, kompaktowy z uchwytem do przenoszenia, waga do </w:t>
            </w:r>
            <w:r>
              <w:t xml:space="preserve">4 </w:t>
            </w:r>
            <w:r w:rsidRPr="00915337">
              <w:t xml:space="preserve"> kg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 xml:space="preserve">Ekran TFT LCD </w:t>
            </w:r>
            <w:r>
              <w:t xml:space="preserve">min. </w:t>
            </w:r>
            <w:r w:rsidRPr="00915337">
              <w:t>1</w:t>
            </w:r>
            <w:r>
              <w:t>2</w:t>
            </w:r>
            <w:r w:rsidRPr="00915337">
              <w:t>”</w:t>
            </w:r>
            <w:r>
              <w:t xml:space="preserve">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rPr>
          <w:trHeight w:val="658"/>
        </w:trPr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>
              <w:t xml:space="preserve">Obsługa poprzez gałkę  i </w:t>
            </w:r>
            <w:r w:rsidRPr="00915337">
              <w:t xml:space="preserve"> przyciski funkcyjne </w:t>
            </w:r>
            <w:r>
              <w:t xml:space="preserve">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rPr>
          <w:trHeight w:val="724"/>
        </w:trPr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>Praca na zasilaniu sieciowym</w:t>
            </w:r>
            <w:r>
              <w:t xml:space="preserve"> 230V</w:t>
            </w:r>
            <w:r w:rsidRPr="00915337">
              <w:t xml:space="preserve"> oraz akumulatorowym  min. 2 godziny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>Wymiana akumulatora bez rozkręcania obudowy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>Oprogramowanie i wyświetlane komunikaty w języku polskim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rPr>
          <w:trHeight w:val="336"/>
        </w:trPr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 xml:space="preserve">Trendy graficzne i tabelaryczne dla mierzonych parametrów min. </w:t>
            </w:r>
            <w:r>
              <w:t xml:space="preserve"> 96 godzin</w:t>
            </w:r>
            <w:r w:rsidRPr="00915337">
              <w:t xml:space="preserve">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 xml:space="preserve">Zapis  min. </w:t>
            </w:r>
            <w:r>
              <w:t>4</w:t>
            </w:r>
            <w:r w:rsidRPr="00915337">
              <w:t xml:space="preserve">00 </w:t>
            </w:r>
            <w:r>
              <w:t xml:space="preserve"> pomiarów NIBP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>
              <w:t>Możliwość wyłączenia alarmów dźwiękowych  na określony czas i bezterminowo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B025DD">
            <w:pPr>
              <w:spacing w:before="60" w:after="60" w:line="240" w:lineRule="auto"/>
            </w:pPr>
            <w:r w:rsidRPr="00915337">
              <w:t>Wybór ekranów: standardowy, duże znaki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  <w:rPr>
                <w:b/>
              </w:rPr>
            </w:pPr>
            <w:r w:rsidRPr="00915337">
              <w:rPr>
                <w:b/>
              </w:rPr>
              <w:t>Parametry monitorowane:</w:t>
            </w:r>
          </w:p>
        </w:tc>
        <w:tc>
          <w:tcPr>
            <w:tcW w:w="1356" w:type="dxa"/>
          </w:tcPr>
          <w:p w:rsidR="00F666AA" w:rsidRDefault="00F666AA"/>
        </w:tc>
        <w:tc>
          <w:tcPr>
            <w:tcW w:w="1193" w:type="dxa"/>
          </w:tcPr>
          <w:p w:rsidR="00F666AA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B31B8F">
            <w:pPr>
              <w:spacing w:before="60" w:after="60" w:line="240" w:lineRule="auto"/>
            </w:pPr>
            <w:r w:rsidRPr="00915337">
              <w:t>EKG</w:t>
            </w:r>
            <w:r>
              <w:t xml:space="preserve"> – przebieg </w:t>
            </w:r>
            <w:proofErr w:type="gramStart"/>
            <w:r>
              <w:t>EKG ,</w:t>
            </w:r>
            <w:r w:rsidRPr="00915337">
              <w:t xml:space="preserve"> </w:t>
            </w:r>
            <w:proofErr w:type="gramEnd"/>
            <w:r w:rsidRPr="00915337">
              <w:t>pomiar HR</w:t>
            </w:r>
            <w:r>
              <w:t xml:space="preserve">  15-300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B31B8F">
            <w:pPr>
              <w:spacing w:before="60" w:after="60" w:line="240" w:lineRule="auto"/>
            </w:pPr>
            <w:r w:rsidRPr="00915337">
              <w:t>RESP – pomiar oddechu</w:t>
            </w:r>
            <w:r>
              <w:t xml:space="preserve">  0-100 dla dorosłych, alarm bezdechu  10-40s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 w:rsidRPr="00915337">
              <w:t>SpO</w:t>
            </w:r>
            <w:r w:rsidRPr="00915337">
              <w:rPr>
                <w:vertAlign w:val="subscript"/>
              </w:rPr>
              <w:t>2</w:t>
            </w:r>
            <w:r w:rsidRPr="00915337">
              <w:t xml:space="preserve"> – pomiar </w:t>
            </w:r>
            <w:proofErr w:type="spellStart"/>
            <w:r w:rsidRPr="00915337">
              <w:t>sturacji</w:t>
            </w:r>
            <w:proofErr w:type="spellEnd"/>
            <w:r w:rsidRPr="00915337">
              <w:t xml:space="preserve"> </w:t>
            </w:r>
            <w:r>
              <w:t xml:space="preserve"> 0-100% 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Default="00F666AA" w:rsidP="000E60AF">
            <w:pPr>
              <w:spacing w:before="60" w:after="60" w:line="240" w:lineRule="auto"/>
            </w:pPr>
            <w:r w:rsidRPr="00915337">
              <w:t xml:space="preserve">NIBP – nieinwazyjny pomiar ciśnienia krwi; tryb pracy ręczny, ciągły oraz automatyczny z możliwością ustawienia przez użytkownika przedziałów czasowych w zakresie </w:t>
            </w:r>
            <w:r>
              <w:t xml:space="preserve"> od 1 do 240 minut, zakres pomiarowy 10-270</w:t>
            </w:r>
            <w:proofErr w:type="gramStart"/>
            <w:r>
              <w:t>mmHg ,</w:t>
            </w:r>
            <w:proofErr w:type="gramEnd"/>
          </w:p>
          <w:p w:rsidR="00F666AA" w:rsidRPr="00915337" w:rsidRDefault="00F666AA" w:rsidP="000E60AF">
            <w:pPr>
              <w:spacing w:before="60" w:after="60" w:line="240" w:lineRule="auto"/>
            </w:pPr>
            <w:r>
              <w:t xml:space="preserve">Programowe i sprzętowe zabezpieczenie przed przepompowaniem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>
              <w:t>Moduł EtCO2 –możliwość dodania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Default="00F666AA" w:rsidP="000E60AF">
            <w:pPr>
              <w:spacing w:before="60" w:after="60" w:line="240" w:lineRule="auto"/>
            </w:pPr>
            <w:r>
              <w:t>Drukarka termiczna, min. 2  kanałowa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E84F5A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 w:rsidRPr="00915337">
              <w:t>TEMP – pomiar temperatury</w:t>
            </w:r>
            <w:r>
              <w:t xml:space="preserve"> z 2 kanałów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  <w:rPr>
                <w:b/>
              </w:rPr>
            </w:pPr>
            <w:r w:rsidRPr="00915337">
              <w:rPr>
                <w:b/>
              </w:rPr>
              <w:t>Wyposażenie:</w:t>
            </w:r>
          </w:p>
        </w:tc>
        <w:tc>
          <w:tcPr>
            <w:tcW w:w="1356" w:type="dxa"/>
          </w:tcPr>
          <w:p w:rsidR="00F666AA" w:rsidRDefault="00F666AA"/>
        </w:tc>
        <w:tc>
          <w:tcPr>
            <w:tcW w:w="1193" w:type="dxa"/>
          </w:tcPr>
          <w:p w:rsidR="00F666AA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 w:rsidRPr="00915337">
              <w:t xml:space="preserve">Kabel EKG </w:t>
            </w:r>
            <w:r>
              <w:t xml:space="preserve"> 3 odprowadzenia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>
              <w:t>Czujnik saturacji  na palec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B31B8F">
            <w:pPr>
              <w:spacing w:before="60" w:after="60" w:line="240" w:lineRule="auto"/>
            </w:pPr>
            <w:r w:rsidRPr="00915337">
              <w:t xml:space="preserve">Mankiety NIBP </w:t>
            </w:r>
            <w:r>
              <w:t xml:space="preserve"> 3 rodzaje </w:t>
            </w:r>
            <w:r w:rsidRPr="000E60AF">
              <w:t xml:space="preserve">w różnych rozmiarach dla dorosłych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0E60AF">
            <w:pPr>
              <w:spacing w:before="60" w:after="60" w:line="240" w:lineRule="auto"/>
            </w:pPr>
            <w:r w:rsidRPr="00915337">
              <w:t>Czuj</w:t>
            </w:r>
            <w:r>
              <w:t xml:space="preserve">nik </w:t>
            </w:r>
            <w:r w:rsidRPr="00915337">
              <w:t>do pomiaru temperatury</w:t>
            </w:r>
            <w:r>
              <w:t xml:space="preserve">: powierzchniowy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B11F66" w:rsidRDefault="00F666AA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9" w:type="dxa"/>
          </w:tcPr>
          <w:p w:rsidR="00F666AA" w:rsidRPr="00915337" w:rsidRDefault="00F666AA" w:rsidP="0032353C">
            <w:pPr>
              <w:spacing w:before="60" w:after="60" w:line="240" w:lineRule="auto"/>
            </w:pPr>
            <w:r w:rsidRPr="00915337">
              <w:t>Na wyposażeniu statyw jezdny</w:t>
            </w:r>
            <w:r>
              <w:t xml:space="preserve"> z koszykiem  na akcesoria i półką umożliwiającą również zamocowanie na ścianie  lub szynie </w:t>
            </w:r>
            <w:r w:rsidRPr="00915337">
              <w:t xml:space="preserve"> 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t>Instrukcja obsługi w języku polskim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Nagwek"/>
              <w:numPr>
                <w:ilvl w:val="0"/>
                <w:numId w:val="5"/>
              </w:numP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pStyle w:val="Nagwek"/>
              <w:tabs>
                <w:tab w:val="left" w:pos="851"/>
              </w:tabs>
            </w:pPr>
            <w:r w:rsidRPr="00D74708">
              <w:rPr>
                <w:color w:val="000000"/>
              </w:rPr>
              <w:t xml:space="preserve">Dostawa, montaż i szkolenie personelu po instalacji </w:t>
            </w:r>
            <w:r w:rsidRPr="00D74708">
              <w:t>w czasie umożliwiającym przeszkolenie całego personelu pracującego w systemie zmianowym, w cenie dostawy.</w:t>
            </w:r>
          </w:p>
          <w:p w:rsidR="00F666AA" w:rsidRPr="00D74708" w:rsidRDefault="00F666AA" w:rsidP="007E4AD5">
            <w:pPr>
              <w:spacing w:after="0" w:line="240" w:lineRule="auto"/>
            </w:pPr>
            <w:r w:rsidRPr="00D74708">
              <w:t xml:space="preserve"> Min 2 szkolenia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7C52C3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rPr>
                <w:color w:val="000000"/>
              </w:rPr>
              <w:t>Paszporty techniczne i karta gwarancyjna</w:t>
            </w:r>
            <w:r w:rsidRPr="00D74708">
              <w:rPr>
                <w:rStyle w:val="apple-converted-space"/>
                <w:color w:val="000000"/>
              </w:rPr>
              <w:t> </w:t>
            </w:r>
            <w:r w:rsidRPr="00D74708">
              <w:rPr>
                <w:color w:val="000000"/>
              </w:rPr>
              <w:t>wraz z dostawą sprzętu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7C52C3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7C52C3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F666AA" w:rsidRPr="00D74708" w:rsidRDefault="00F666AA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F666AA" w:rsidRPr="00D74708" w:rsidRDefault="00F666AA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D74708">
              <w:rPr>
                <w:color w:val="000000"/>
                <w:lang w:eastAsia="pl-PL"/>
              </w:rPr>
              <w:t>z</w:t>
            </w:r>
            <w:proofErr w:type="gramEnd"/>
            <w:r w:rsidRPr="00D74708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D74708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D74708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</w:t>
            </w:r>
            <w:r w:rsidRPr="00D74708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ze zm.</w:t>
            </w:r>
            <w:r w:rsidRPr="00D74708">
              <w:rPr>
                <w:color w:val="000000"/>
                <w:lang w:eastAsia="pl-PL"/>
              </w:rPr>
              <w:t>)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t>Okres gwarancji min. 2 lata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t>Gwarancja dostępności części zużywalny</w:t>
            </w:r>
            <w:r>
              <w:t xml:space="preserve">ch, zamiennych </w:t>
            </w:r>
            <w:r w:rsidRPr="00D74708">
              <w:t>min. 5 lat od daty dostawy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  <w:tr w:rsidR="00F666AA" w:rsidRPr="00D74708" w:rsidTr="00F666AA">
        <w:tc>
          <w:tcPr>
            <w:tcW w:w="796" w:type="dxa"/>
          </w:tcPr>
          <w:p w:rsidR="00F666AA" w:rsidRPr="00D74708" w:rsidRDefault="00F666AA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5939" w:type="dxa"/>
            <w:vAlign w:val="center"/>
          </w:tcPr>
          <w:p w:rsidR="00F666AA" w:rsidRPr="00D74708" w:rsidRDefault="00F666AA" w:rsidP="007E4AD5">
            <w:pPr>
              <w:spacing w:after="0" w:line="240" w:lineRule="auto"/>
            </w:pPr>
            <w:r w:rsidRPr="00D74708">
              <w:t xml:space="preserve">Czas przystąpienia do naprawy max. 48 h (w </w:t>
            </w:r>
            <w:proofErr w:type="gramStart"/>
            <w:r w:rsidRPr="00D74708">
              <w:t>dni ro</w:t>
            </w:r>
            <w:r>
              <w:t>bocze</w:t>
            </w:r>
            <w:proofErr w:type="gramEnd"/>
            <w:r>
              <w:t xml:space="preserve">) wraz z opcją aparatu </w:t>
            </w:r>
            <w:r w:rsidRPr="00D74708">
              <w:t>zastępczego w przypadku naprawy trwającej dłużej niż 48h</w:t>
            </w:r>
          </w:p>
        </w:tc>
        <w:tc>
          <w:tcPr>
            <w:tcW w:w="1356" w:type="dxa"/>
          </w:tcPr>
          <w:p w:rsidR="00F666AA" w:rsidRDefault="00F666AA">
            <w:r w:rsidRPr="00172095">
              <w:t>Tak</w:t>
            </w:r>
          </w:p>
        </w:tc>
        <w:tc>
          <w:tcPr>
            <w:tcW w:w="1193" w:type="dxa"/>
          </w:tcPr>
          <w:p w:rsidR="00F666AA" w:rsidRPr="00172095" w:rsidRDefault="00F666AA"/>
        </w:tc>
      </w:tr>
    </w:tbl>
    <w:p w:rsidR="00A16D33" w:rsidRP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>Uwaga!</w:t>
      </w:r>
    </w:p>
    <w:p w:rsidR="004C0129" w:rsidRDefault="00A16D33" w:rsidP="007E4AD5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 xml:space="preserve">Przedstawione dane techniczne należy potwierdzić odpowiednimi materiałami </w:t>
      </w:r>
      <w:proofErr w:type="gramStart"/>
      <w:r w:rsidRPr="00A16D33">
        <w:rPr>
          <w:b/>
          <w:bCs/>
        </w:rPr>
        <w:t>informacyjnym                       producenta</w:t>
      </w:r>
      <w:proofErr w:type="gramEnd"/>
      <w:r w:rsidRPr="00A16D33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7F38A2" w:rsidRDefault="007F38A2" w:rsidP="007E4AD5">
      <w:pPr>
        <w:spacing w:after="0" w:line="240" w:lineRule="auto"/>
        <w:jc w:val="both"/>
        <w:rPr>
          <w:b/>
          <w:bCs/>
        </w:rPr>
      </w:pPr>
    </w:p>
    <w:p w:rsidR="007F38A2" w:rsidRPr="00353182" w:rsidRDefault="007F38A2" w:rsidP="007F38A2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7F38A2" w:rsidRPr="00E72E84" w:rsidRDefault="007F38A2" w:rsidP="007F38A2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7F38A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7F38A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7F38A2" w:rsidRPr="00353182" w:rsidRDefault="007F38A2" w:rsidP="007F38A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7F38A2" w:rsidRPr="00353182" w:rsidRDefault="007F38A2" w:rsidP="007F38A2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7F38A2" w:rsidRDefault="007F38A2" w:rsidP="007F38A2">
      <w:pPr>
        <w:tabs>
          <w:tab w:val="left" w:pos="5670"/>
        </w:tabs>
        <w:spacing w:after="0" w:line="240" w:lineRule="auto"/>
        <w:jc w:val="both"/>
      </w:pPr>
    </w:p>
    <w:p w:rsidR="007F38A2" w:rsidRPr="0093123D" w:rsidRDefault="007F38A2" w:rsidP="007F38A2">
      <w:pPr>
        <w:tabs>
          <w:tab w:val="left" w:pos="5670"/>
        </w:tabs>
        <w:spacing w:after="0" w:line="240" w:lineRule="auto"/>
        <w:jc w:val="both"/>
      </w:pPr>
      <w:r>
        <w:t xml:space="preserve">     </w:t>
      </w: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7F38A2" w:rsidRDefault="007F38A2" w:rsidP="007F38A2">
      <w:pPr>
        <w:spacing w:after="0" w:line="240" w:lineRule="auto"/>
        <w:ind w:right="-2"/>
        <w:rPr>
          <w:lang w:eastAsia="pl-PL"/>
        </w:rPr>
      </w:pPr>
    </w:p>
    <w:p w:rsidR="007F38A2" w:rsidRPr="00353182" w:rsidRDefault="007F38A2" w:rsidP="007F38A2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7F38A2" w:rsidRPr="00353182" w:rsidRDefault="007F38A2" w:rsidP="007F38A2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7F38A2" w:rsidRPr="00353182" w:rsidRDefault="007F38A2" w:rsidP="007F38A2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7F38A2" w:rsidRDefault="007F38A2" w:rsidP="007E4AD5">
      <w:pPr>
        <w:spacing w:after="0" w:line="240" w:lineRule="auto"/>
        <w:jc w:val="both"/>
        <w:rPr>
          <w:b/>
          <w:bCs/>
        </w:rPr>
      </w:pPr>
    </w:p>
    <w:sectPr w:rsidR="007F38A2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F9" w:rsidRDefault="00B145F9" w:rsidP="001D07AA">
      <w:pPr>
        <w:spacing w:after="0" w:line="240" w:lineRule="auto"/>
      </w:pPr>
      <w:r>
        <w:separator/>
      </w:r>
    </w:p>
  </w:endnote>
  <w:endnote w:type="continuationSeparator" w:id="0">
    <w:p w:rsidR="00B145F9" w:rsidRDefault="00B145F9" w:rsidP="001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Pr="00DD7E8B" w:rsidRDefault="00CE4D9E" w:rsidP="00F50437">
    <w:pPr>
      <w:pStyle w:val="Stopka"/>
      <w:framePr w:wrap="auto" w:vAnchor="text" w:hAnchor="margin" w:xAlign="right" w:y="1"/>
      <w:rPr>
        <w:rStyle w:val="Numerstrony"/>
        <w:rFonts w:ascii="Cambria" w:hAnsi="Cambria" w:cs="Cambria"/>
        <w:sz w:val="18"/>
        <w:szCs w:val="18"/>
      </w:rPr>
    </w:pPr>
    <w:r w:rsidRPr="00DD7E8B">
      <w:rPr>
        <w:rStyle w:val="Numerstrony"/>
        <w:rFonts w:ascii="Cambria" w:hAnsi="Cambria" w:cs="Cambria"/>
        <w:sz w:val="18"/>
        <w:szCs w:val="18"/>
      </w:rPr>
      <w:fldChar w:fldCharType="begin"/>
    </w:r>
    <w:r w:rsidRPr="00DD7E8B">
      <w:rPr>
        <w:rStyle w:val="Numerstrony"/>
        <w:rFonts w:ascii="Cambria" w:hAnsi="Cambria" w:cs="Cambria"/>
        <w:sz w:val="18"/>
        <w:szCs w:val="18"/>
      </w:rPr>
      <w:instrText xml:space="preserve">PAGE  </w:instrText>
    </w:r>
    <w:r w:rsidRPr="00DD7E8B">
      <w:rPr>
        <w:rStyle w:val="Numerstrony"/>
        <w:rFonts w:ascii="Cambria" w:hAnsi="Cambria" w:cs="Cambria"/>
        <w:sz w:val="18"/>
        <w:szCs w:val="18"/>
      </w:rPr>
      <w:fldChar w:fldCharType="separate"/>
    </w:r>
    <w:r w:rsidR="004761B2">
      <w:rPr>
        <w:rStyle w:val="Numerstrony"/>
        <w:rFonts w:ascii="Cambria" w:hAnsi="Cambria" w:cs="Cambria"/>
        <w:noProof/>
        <w:sz w:val="18"/>
        <w:szCs w:val="18"/>
      </w:rPr>
      <w:t>1</w:t>
    </w:r>
    <w:r w:rsidRPr="00DD7E8B">
      <w:rPr>
        <w:rStyle w:val="Numerstrony"/>
        <w:rFonts w:ascii="Cambria" w:hAnsi="Cambria" w:cs="Cambria"/>
        <w:sz w:val="18"/>
        <w:szCs w:val="18"/>
      </w:rPr>
      <w:fldChar w:fldCharType="end"/>
    </w:r>
  </w:p>
  <w:p w:rsidR="00CE4D9E" w:rsidRDefault="00F26800" w:rsidP="00DD7E8B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6504DD" wp14:editId="137868C1">
          <wp:simplePos x="0" y="0"/>
          <wp:positionH relativeFrom="column">
            <wp:posOffset>-897255</wp:posOffset>
          </wp:positionH>
          <wp:positionV relativeFrom="paragraph">
            <wp:posOffset>-459740</wp:posOffset>
          </wp:positionV>
          <wp:extent cx="7550785" cy="1971675"/>
          <wp:effectExtent l="0" t="0" r="0" b="9525"/>
          <wp:wrapNone/>
          <wp:docPr id="2" name="Obraz 1" descr="tlo-a4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lo-a4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F9" w:rsidRDefault="00B145F9" w:rsidP="001D07AA">
      <w:pPr>
        <w:spacing w:after="0" w:line="240" w:lineRule="auto"/>
      </w:pPr>
      <w:r>
        <w:separator/>
      </w:r>
    </w:p>
  </w:footnote>
  <w:footnote w:type="continuationSeparator" w:id="0">
    <w:p w:rsidR="00B145F9" w:rsidRDefault="00B145F9" w:rsidP="001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Default="00F268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D0AD984" wp14:editId="5447967C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2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88D"/>
    <w:multiLevelType w:val="hybridMultilevel"/>
    <w:tmpl w:val="357C61C6"/>
    <w:lvl w:ilvl="0" w:tplc="461898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6D5A"/>
    <w:multiLevelType w:val="hybridMultilevel"/>
    <w:tmpl w:val="AF76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7318A"/>
    <w:multiLevelType w:val="multilevel"/>
    <w:tmpl w:val="5802A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707F77E5"/>
    <w:multiLevelType w:val="hybridMultilevel"/>
    <w:tmpl w:val="7022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41"/>
    <w:rsid w:val="00001BD6"/>
    <w:rsid w:val="00020EAC"/>
    <w:rsid w:val="0002278A"/>
    <w:rsid w:val="0005298E"/>
    <w:rsid w:val="00056C9D"/>
    <w:rsid w:val="00074A8F"/>
    <w:rsid w:val="00084EA9"/>
    <w:rsid w:val="000859C6"/>
    <w:rsid w:val="00095518"/>
    <w:rsid w:val="000A4B7A"/>
    <w:rsid w:val="000D7196"/>
    <w:rsid w:val="000E60AF"/>
    <w:rsid w:val="000F1DF7"/>
    <w:rsid w:val="00147B7F"/>
    <w:rsid w:val="00156511"/>
    <w:rsid w:val="00176DB0"/>
    <w:rsid w:val="001D07AA"/>
    <w:rsid w:val="001E00D9"/>
    <w:rsid w:val="001E1350"/>
    <w:rsid w:val="001E7615"/>
    <w:rsid w:val="001F6FCE"/>
    <w:rsid w:val="00226805"/>
    <w:rsid w:val="00231D2D"/>
    <w:rsid w:val="002553D7"/>
    <w:rsid w:val="00286626"/>
    <w:rsid w:val="002C4423"/>
    <w:rsid w:val="00353182"/>
    <w:rsid w:val="00365B94"/>
    <w:rsid w:val="00373129"/>
    <w:rsid w:val="00376751"/>
    <w:rsid w:val="00390C43"/>
    <w:rsid w:val="00393225"/>
    <w:rsid w:val="003B335C"/>
    <w:rsid w:val="003F1A41"/>
    <w:rsid w:val="00435FC8"/>
    <w:rsid w:val="004424E1"/>
    <w:rsid w:val="004479D1"/>
    <w:rsid w:val="00475C32"/>
    <w:rsid w:val="004761B2"/>
    <w:rsid w:val="004A0074"/>
    <w:rsid w:val="004A28CB"/>
    <w:rsid w:val="004A7DCB"/>
    <w:rsid w:val="004C0129"/>
    <w:rsid w:val="005235A6"/>
    <w:rsid w:val="00533ED2"/>
    <w:rsid w:val="00533F0F"/>
    <w:rsid w:val="00537A43"/>
    <w:rsid w:val="00540D83"/>
    <w:rsid w:val="00546891"/>
    <w:rsid w:val="005759A9"/>
    <w:rsid w:val="00597B75"/>
    <w:rsid w:val="005A1752"/>
    <w:rsid w:val="005B188E"/>
    <w:rsid w:val="005C5B5D"/>
    <w:rsid w:val="005E599B"/>
    <w:rsid w:val="005F6619"/>
    <w:rsid w:val="00624677"/>
    <w:rsid w:val="006377C0"/>
    <w:rsid w:val="006A5DF9"/>
    <w:rsid w:val="006B4FA5"/>
    <w:rsid w:val="006E0CC9"/>
    <w:rsid w:val="00715CF9"/>
    <w:rsid w:val="00755881"/>
    <w:rsid w:val="007627B1"/>
    <w:rsid w:val="007B3C9E"/>
    <w:rsid w:val="007C4E66"/>
    <w:rsid w:val="007C52C3"/>
    <w:rsid w:val="007E4AD5"/>
    <w:rsid w:val="007F2BDF"/>
    <w:rsid w:val="007F38A2"/>
    <w:rsid w:val="00802F2B"/>
    <w:rsid w:val="00814C00"/>
    <w:rsid w:val="00850D69"/>
    <w:rsid w:val="0085229B"/>
    <w:rsid w:val="00855951"/>
    <w:rsid w:val="00867BA7"/>
    <w:rsid w:val="00883A38"/>
    <w:rsid w:val="008D5271"/>
    <w:rsid w:val="00916884"/>
    <w:rsid w:val="0093123D"/>
    <w:rsid w:val="00933CB3"/>
    <w:rsid w:val="0093793A"/>
    <w:rsid w:val="00970D50"/>
    <w:rsid w:val="009813E8"/>
    <w:rsid w:val="0099167B"/>
    <w:rsid w:val="00995FBA"/>
    <w:rsid w:val="009C364B"/>
    <w:rsid w:val="009C4738"/>
    <w:rsid w:val="00A00293"/>
    <w:rsid w:val="00A027E1"/>
    <w:rsid w:val="00A149DE"/>
    <w:rsid w:val="00A16D33"/>
    <w:rsid w:val="00A26920"/>
    <w:rsid w:val="00A77146"/>
    <w:rsid w:val="00A9175D"/>
    <w:rsid w:val="00A94238"/>
    <w:rsid w:val="00A97341"/>
    <w:rsid w:val="00B025DD"/>
    <w:rsid w:val="00B11F66"/>
    <w:rsid w:val="00B145F9"/>
    <w:rsid w:val="00B20D72"/>
    <w:rsid w:val="00B31B8F"/>
    <w:rsid w:val="00B41DEE"/>
    <w:rsid w:val="00B47198"/>
    <w:rsid w:val="00B56B11"/>
    <w:rsid w:val="00B832EA"/>
    <w:rsid w:val="00B83401"/>
    <w:rsid w:val="00BA4968"/>
    <w:rsid w:val="00BC489E"/>
    <w:rsid w:val="00BD3EE3"/>
    <w:rsid w:val="00BE1CED"/>
    <w:rsid w:val="00BF4DC5"/>
    <w:rsid w:val="00C1512F"/>
    <w:rsid w:val="00C16849"/>
    <w:rsid w:val="00C25228"/>
    <w:rsid w:val="00C80D07"/>
    <w:rsid w:val="00C90E75"/>
    <w:rsid w:val="00CB7CC2"/>
    <w:rsid w:val="00CE2F61"/>
    <w:rsid w:val="00CE3A1E"/>
    <w:rsid w:val="00CE4D9E"/>
    <w:rsid w:val="00CF26A7"/>
    <w:rsid w:val="00D06750"/>
    <w:rsid w:val="00D200C1"/>
    <w:rsid w:val="00D25D46"/>
    <w:rsid w:val="00D25D5F"/>
    <w:rsid w:val="00D27225"/>
    <w:rsid w:val="00D74708"/>
    <w:rsid w:val="00DB045D"/>
    <w:rsid w:val="00DD7E8B"/>
    <w:rsid w:val="00E015D8"/>
    <w:rsid w:val="00E112EA"/>
    <w:rsid w:val="00E1646D"/>
    <w:rsid w:val="00E1767C"/>
    <w:rsid w:val="00E37239"/>
    <w:rsid w:val="00E519B1"/>
    <w:rsid w:val="00E5348E"/>
    <w:rsid w:val="00E72663"/>
    <w:rsid w:val="00E72E84"/>
    <w:rsid w:val="00E84F5A"/>
    <w:rsid w:val="00EF4C84"/>
    <w:rsid w:val="00F26800"/>
    <w:rsid w:val="00F30808"/>
    <w:rsid w:val="00F500C7"/>
    <w:rsid w:val="00F50437"/>
    <w:rsid w:val="00F56360"/>
    <w:rsid w:val="00F666AA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  <w:style w:type="paragraph" w:styleId="Akapitzlist">
    <w:name w:val="List Paragraph"/>
    <w:basedOn w:val="Normalny"/>
    <w:uiPriority w:val="34"/>
    <w:qFormat/>
    <w:rsid w:val="007C5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  <w:style w:type="paragraph" w:styleId="Akapitzlist">
    <w:name w:val="List Paragraph"/>
    <w:basedOn w:val="Normalny"/>
    <w:uiPriority w:val="34"/>
    <w:qFormat/>
    <w:rsid w:val="007C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11</cp:revision>
  <dcterms:created xsi:type="dcterms:W3CDTF">2015-10-06T11:38:00Z</dcterms:created>
  <dcterms:modified xsi:type="dcterms:W3CDTF">2015-10-07T07:22:00Z</dcterms:modified>
</cp:coreProperties>
</file>