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9D" w:rsidRDefault="008A5F9D" w:rsidP="008A5F9D">
      <w:pPr>
        <w:spacing w:after="0" w:line="240" w:lineRule="auto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Załącznik NR 5</w:t>
      </w:r>
    </w:p>
    <w:p w:rsidR="008A5F9D" w:rsidRDefault="008A5F9D" w:rsidP="008A5F9D">
      <w:pPr>
        <w:spacing w:after="0" w:line="240" w:lineRule="auto"/>
        <w:jc w:val="right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REGULAMIN PRZEPROWADZENIA DIALOGU TECHNICZNEGO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 ogłoszenia o dialogu technicznym poprzedzającym ogłoszenie postępowania w sprawie wyboru wykonawcy zadania pt.: </w:t>
      </w:r>
      <w:r>
        <w:rPr>
          <w:rFonts w:ascii="Palatino Linotype" w:hAnsi="Palatino Linotype"/>
          <w:b/>
          <w:bCs/>
          <w:sz w:val="24"/>
          <w:szCs w:val="24"/>
        </w:rPr>
        <w:t>„Wykonywanie badań diagnostycznych RTG i TK z zakresu badań przeglądowych, badań kontrastowych przewodu pokarmowego  układu kostnego i moczowego w okresie dzierżawy przez Wykonawcę pomieszczeń pracowni RTG z wyposażeniem znajdujących się w  budynku „B” MCM sp. z o.o. w Miliczu, przy ul. Grzybowej 1”.</w:t>
      </w:r>
    </w:p>
    <w:p w:rsidR="008A5F9D" w:rsidRDefault="008A5F9D" w:rsidP="008A5F9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1</w:t>
      </w:r>
      <w:r>
        <w:rPr>
          <w:rFonts w:ascii="Palatino Linotype" w:hAnsi="Palatino Linotype"/>
          <w:b/>
          <w:sz w:val="24"/>
          <w:szCs w:val="24"/>
        </w:rPr>
        <w:br/>
        <w:t>Definicje</w:t>
      </w:r>
    </w:p>
    <w:p w:rsidR="008A5F9D" w:rsidRDefault="008A5F9D" w:rsidP="008A5F9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Ilekroć w niniejszym regulaminie jest mowa o:</w:t>
      </w:r>
    </w:p>
    <w:p w:rsidR="008A5F9D" w:rsidRDefault="008A5F9D" w:rsidP="008A5F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dialogu – rozumie się przez to dialog techniczny prowadzony na podstawie art. 31a-31c Pzp,</w:t>
      </w:r>
    </w:p>
    <w:p w:rsidR="008A5F9D" w:rsidRDefault="008A5F9D" w:rsidP="008A5F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zamawiającym – rozumie się przez to Milickie Centrum Medyczne sp. zo.o.</w:t>
      </w:r>
    </w:p>
    <w:p w:rsidR="008A5F9D" w:rsidRDefault="008A5F9D" w:rsidP="008A5F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regulaminie – rozumie się przez to niniejszy regulamin przeprowadzenia dialogu technicznego,</w:t>
      </w:r>
    </w:p>
    <w:p w:rsidR="008A5F9D" w:rsidRDefault="008A5F9D" w:rsidP="008A5F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uczestniku – rozumie się przez to zainteresowanego udziałem w dialogu technicznym, który złożył zamawiającemu stosowny wniosek,</w:t>
      </w:r>
    </w:p>
    <w:p w:rsidR="008A5F9D" w:rsidRDefault="008A5F9D" w:rsidP="008A5F9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komórce organizacyjnej – rozumie się przez to komórkę wewnętrzną w strukturach zamawiającego odpowiedzialną w szczególności za opracowanie opisu przedmiotu zamówienia,</w:t>
      </w:r>
    </w:p>
    <w:p w:rsidR="008A5F9D" w:rsidRDefault="008A5F9D" w:rsidP="008A5F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komisji – rozumienie się przez to </w:t>
      </w:r>
      <w:r>
        <w:rPr>
          <w:rFonts w:ascii="Palatino Linotype" w:hAnsi="Palatino Linotype"/>
          <w:noProof w:val="0"/>
          <w:sz w:val="24"/>
          <w:szCs w:val="24"/>
          <w:lang w:eastAsia="pl-PL"/>
        </w:rPr>
        <w:t>zespół osób powołany przez właściwe organy zamawiającego wg wewnętrznych uregulowań, w celu przeprowadzenia dialogu technicznego,</w:t>
      </w:r>
    </w:p>
    <w:p w:rsidR="008A5F9D" w:rsidRDefault="008A5F9D" w:rsidP="008A5F9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ogłoszeniu o dialogu – rozumie się przez to informację o zamiarze przeprowadzenia dialogu technicznego oraz o jego przedmiocie.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2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Postanowienia ogólne</w:t>
      </w:r>
    </w:p>
    <w:p w:rsidR="008A5F9D" w:rsidRDefault="008A5F9D" w:rsidP="008A5F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Regulamin określa zasady prowadzenia przez zamawiającego dialogu technicznego, poprzedzającego wszczęcie postępowania o udzielenie zamówienia publicznego.</w:t>
      </w:r>
    </w:p>
    <w:p w:rsidR="008A5F9D" w:rsidRDefault="008A5F9D" w:rsidP="008A5F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prowadzony jest na podstawie art. 31a-31c Pzp.</w:t>
      </w:r>
    </w:p>
    <w:p w:rsidR="008A5F9D" w:rsidRDefault="008A5F9D" w:rsidP="008A5F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Udział w dialogu nie jest warunkiem ubiegania się w przyszłości o jakiekolwiek zamówienie publiczne.</w:t>
      </w:r>
    </w:p>
    <w:p w:rsidR="008A5F9D" w:rsidRDefault="008A5F9D" w:rsidP="008A5F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Wybór wykonawcy zostanie dokonany po przeprowadzeniu postępowania o udzielenie zamówienia publicznego na podstawie Pzp. </w:t>
      </w:r>
    </w:p>
    <w:p w:rsidR="00A67B86" w:rsidRDefault="00A67B86" w:rsidP="00A67B86">
      <w:pPr>
        <w:pStyle w:val="Akapitzlist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pStyle w:val="Akapitzlist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§ 3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Przedmiot i cel dialogu</w:t>
      </w:r>
    </w:p>
    <w:p w:rsidR="008A5F9D" w:rsidRDefault="008A5F9D" w:rsidP="008A5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zakresie niezbędnym do przygotowania opisu przedmiotu zamówienia, SIWZ lub określenia warunków umowy, zamawiający może zadecydować o przeprowadzeniu dialogu, zwracając się o:</w:t>
      </w:r>
    </w:p>
    <w:p w:rsidR="008A5F9D" w:rsidRDefault="008A5F9D" w:rsidP="008A5F9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doradztwo,</w:t>
      </w:r>
    </w:p>
    <w:p w:rsidR="008A5F9D" w:rsidRDefault="008A5F9D" w:rsidP="008A5F9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udzielenie informacji.</w:t>
      </w:r>
    </w:p>
    <w:p w:rsidR="008A5F9D" w:rsidRDefault="008A5F9D" w:rsidP="008A5F9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/>
          <w:noProof w:val="0"/>
          <w:sz w:val="24"/>
          <w:szCs w:val="24"/>
          <w:lang w:eastAsia="pl-PL"/>
        </w:rPr>
        <w:t xml:space="preserve">Celem dialogu technicznego jest zapoznanie się przez zamawiającego z najlepszymi, najkorzystniejszymi, a także najnowszymi rozwiązaniami technicznymi, organizacyjnymi i technologicznymi w dziedzinie właściwej dla przedmiotu planowanego zamówienia. </w:t>
      </w:r>
    </w:p>
    <w:p w:rsidR="008A5F9D" w:rsidRDefault="008A5F9D" w:rsidP="008A5F9D">
      <w:pPr>
        <w:pStyle w:val="Akapitzlist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§ 4 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Komisja ds. przeprowadzenia dialogu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 zgłoszenie kierownikowi zamawiającego potrzeby przeprowadzenia dialogu technicznego jest odpowiedzialny kierownik komórki organizacyjnej odpowiedzialnej za opracowanie opisu przedmiotu zamówienia. 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techniczny prowadzi komisja ds. przeprowadzenia dialogu technicznego.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Komisja, o której mowa w ust. 3, zostaje powołana na podstawie zarządzenia prezesa Milickiego Centrum Medycznego sp. zo.o.,  w Miliczu.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Komisja ds. przeprowadzenia dialogu technicznego składa się minimum z trzech osób posiadających wiedzę i doświadczenie z zakresu przedmiotu dialogu, w tym:</w:t>
      </w:r>
    </w:p>
    <w:p w:rsidR="008A5F9D" w:rsidRDefault="008A5F9D" w:rsidP="008A5F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przewodniczącego,</w:t>
      </w:r>
    </w:p>
    <w:p w:rsidR="008A5F9D" w:rsidRDefault="008A5F9D" w:rsidP="008A5F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sekretarza,</w:t>
      </w:r>
    </w:p>
    <w:p w:rsidR="008A5F9D" w:rsidRDefault="008A5F9D" w:rsidP="008A5F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członka/ członków komisji.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Pracami komisji kieruje przewodniczący.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 obsługę organizacyjno-biurową komisji odpowiada sekretarz.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Członkowie komisji uczestniczą w pracach komisji na równych zasadach, określonych w regulaminie.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zadań komisji należy w szczególności: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przygotowanie ogłoszenia o dialogu,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dokonanie kwalifikacji uczestników dialogu,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wyznaczenie terminu/ terminów prowadzenia dialogu,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przeprowadzenie dialogu na warunkach określonych w niniejszym regulaminie,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przygotowanie projektu decyzji o zakończeniu dialogu przedkładanej do zatwierdzenia kierownikowi zamawiającego,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poinformowanie uczestników o zakończeniu dialogu,</w:t>
      </w:r>
    </w:p>
    <w:p w:rsidR="008A5F9D" w:rsidRDefault="008A5F9D" w:rsidP="008A5F9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przygotowanie protokołu z przeprowadzonego dialogu,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Komisja realizuje swoje czynności rzetelnie, bezstronnie i obiektywnie, kierując się wyłącznie przepisami prawa, wiedzą i doświadczeniem, uwzględniając opinie biegłych, o ile zostaną powałani.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Członkowie komisji uczestniczą we wszystkich pracach komisji.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Dla skuteczności czynności podejmowanych przez komisję wymagana jest obecność co najmniej połowy jej składu osobowego.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 wniosek przewodniczącego komisji kierownik zamawiającego może dokonać zmiany lub rozszerzenia składu komisji bądź powołać biegłego w zakresie przedmiotu zamówienia objetego dialogiem.</w:t>
      </w:r>
    </w:p>
    <w:p w:rsidR="008A5F9D" w:rsidRDefault="008A5F9D" w:rsidP="008A5F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Komisja kończy swoją pracę wraz z zatwierdzeniem protokołu z przeprowadzonego dialogu.</w:t>
      </w:r>
    </w:p>
    <w:p w:rsidR="008A5F9D" w:rsidRDefault="008A5F9D" w:rsidP="008A5F9D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5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Wyłączenia po stronie zamawiającego</w:t>
      </w:r>
    </w:p>
    <w:p w:rsidR="008A5F9D" w:rsidRDefault="008A5F9D" w:rsidP="008A5F9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Czynności związane z przygotowaniem i przeprowadzeniem dialogu wykonują osoby zapewniajace bezstronność i obiektywizm.</w:t>
      </w:r>
    </w:p>
    <w:p w:rsidR="008A5F9D" w:rsidRDefault="008A5F9D" w:rsidP="008A5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W przypadku wystąpienia okoliczności uniemożliwiających członkowi/ sekretarzowi komisji wykonywanie powierzonych mu obowiązków, w tym naruszenie zasad określonych w ust. 1, niezwłocznie informuje o tym fakcie przewodniczącego komisji.</w:t>
      </w:r>
    </w:p>
    <w:p w:rsidR="008A5F9D" w:rsidRDefault="008A5F9D" w:rsidP="008A5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W przypadku wystąpienia okoliczności uniemożliwiających przewodniczącemu komisji wykonywanie powierzonych mu obowiązków, w tym naruszenie zasad określonych w ust. 1, niezwłocznie informuje o tym fakcie kierownika zamawiającego.</w:t>
      </w:r>
    </w:p>
    <w:p w:rsidR="008A5F9D" w:rsidRDefault="008A5F9D" w:rsidP="008A5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sytuacji określonej w ust. 2 lub ust. 3 następuje zmiana odpowiednio członka/ sekretarza lub przewodniczącego komisji.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6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Zasady prowadzenia dialogu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techniczny wszczyna się poprzez ogłoszenie o dialogu publikowane co najmniej na stronie internetowej zamawiającego.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Decyzję o prowadzeniu dialogu zamawiający może opublikować w inny sposób niż wymagany w ust. 1.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Ogloszenie o dialogu nie stanowi zaproszenia do złożenia oferty w rozumieniu art. 66 KC, ani ogłoszenia o zamówieniu w rozumieniu przepisów Pzp.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ogłoszeniu o dialogu wskazuje się co najmniej informacje o:</w:t>
      </w:r>
    </w:p>
    <w:p w:rsidR="008A5F9D" w:rsidRDefault="008A5F9D" w:rsidP="008A5F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danych zamawiającego, m.in.: nazwa, adres, dane teleadresowe zamawiającego,</w:t>
      </w:r>
    </w:p>
    <w:p w:rsidR="008A5F9D" w:rsidRDefault="008A5F9D" w:rsidP="008A5F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zakresie informacji, której poszukuje zamawiający, np. dotyczących dostępności, efektywności, zamienialności, porównań, na temat określonych usług, lub dostępnych technologii itp.,</w:t>
      </w:r>
    </w:p>
    <w:p w:rsidR="008A5F9D" w:rsidRDefault="008A5F9D" w:rsidP="008A5F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informacje o formie prowadzenia dialogu technicznego, informacje o warunkach udziału w dialogu technicznym, </w:t>
      </w:r>
    </w:p>
    <w:p w:rsidR="008A5F9D" w:rsidRDefault="008A5F9D" w:rsidP="008A5F9D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informacje o sposobie zgłoszenia udziału w dialogu technicznym,</w:t>
      </w:r>
    </w:p>
    <w:p w:rsidR="008A5F9D" w:rsidRDefault="008A5F9D" w:rsidP="008A5F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informacje o miejscu i terminie prowadzenia dialogu technicznego,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Do dialogu zostają zaproszeni wyłącznie ci spośród zainteresowanch, którzy złożą wnioski o udział w dialogu.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Wzór i tryb złożenia wniosku określi zamawiający w ogłoszeniu o dialogu. 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Celem zapewnienia sprawnej organizacji oraz równości dostępu do dialogu, zamawiający w ogłoszeniu o dialogu wskazuje terminy czynności, w tym co najmniej termin na złożenie wniosku o dopuszczenie do dialogu.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Złożone wnioski będą podlegały weryfikacji przez komisję ds. przeprowadzenia dialogu pod względem spełniena wymagań zawartych w ogłoszeniu o dialogu.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Zamawiajacy może przewidywać dodatkowe warunki, od których uzależnione jest dopuszczenie do dialogu. Warunki te nie mogą naruszać zasad uczciwej konkurencji i równego traktowania.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terminie wskazanym w ogłoszeniu o dialogu technicznym zostaną wysłane zaproszenia do udziału w dialogu technicznym.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techniczny odbędzie się w terminie wskazanym w przesłanym zaproszeniu.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Dopuszcza się zmianę terminu dialogu wynikającą z wystąpienia obiektywnych przyczyn, z zastrzeniem, że obie strony wyrażają zgodę na zmianę terminu.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 przeprowadzonego dialogu komisja ds. przeprowadzenia dialogu sporządza pisemny protokół, a protokół dialogu podlega zatwierdzeniu przez kierownika zamawiającego.</w:t>
      </w:r>
    </w:p>
    <w:p w:rsidR="008A5F9D" w:rsidRDefault="008A5F9D" w:rsidP="008A5F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 tytułu udziału w dialogu technicznym uczestnikom tego dialogu nie przysługuje żadne wynagrodzenie ani zwrot kosztów związanych z tym udziałem. </w:t>
      </w:r>
    </w:p>
    <w:p w:rsidR="008A5F9D" w:rsidRDefault="008A5F9D" w:rsidP="008A5F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 xml:space="preserve">Informacja o przeprowadzeniu dialogu technicznego zostanie zamieszczona w ogłoszeniu o zamówieniu. 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7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Przebieg i forma prowadzenia dialogu</w:t>
      </w:r>
    </w:p>
    <w:p w:rsidR="008A5F9D" w:rsidRDefault="008A5F9D" w:rsidP="008A5F9D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jest prowadzony w języku polskim i ma charakter jawny, z zastrzeżeniem § 8 ust. 3 Pzp, w tym z § 8 regulaminu.</w:t>
      </w:r>
    </w:p>
    <w:p w:rsidR="008A5F9D" w:rsidRDefault="008A5F9D" w:rsidP="008A5F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dokumentów przedstawionych w języku innym niż polski powinno być załączone tłumaczenie na język polski podpisane przez osobę umocowną do reprezentowania uczesnika dialogu.</w:t>
      </w:r>
    </w:p>
    <w:p w:rsidR="008A5F9D" w:rsidRDefault="008A5F9D" w:rsidP="008A5F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może być prowadzony w dowolnej wybranej przez zamawiającego formie, nienaruszającej zasad uczciwej konkurencji i równego traktowania uczestników. O formie dialogu decyduje zamawiający w ogłoszeniu o dialogu.</w:t>
      </w:r>
    </w:p>
    <w:p w:rsidR="008A5F9D" w:rsidRDefault="008A5F9D" w:rsidP="008A5F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może być prowadzony w formie:</w:t>
      </w:r>
    </w:p>
    <w:p w:rsidR="008A5F9D" w:rsidRDefault="008A5F9D" w:rsidP="008A5F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wymiany korespondencji pisemnej, faksowej lub elektronicznej,</w:t>
      </w:r>
    </w:p>
    <w:p w:rsidR="008A5F9D" w:rsidRDefault="008A5F9D" w:rsidP="008A5F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spotkania z uczestnikami – indywidualnie lub grupą uczestników.</w:t>
      </w:r>
    </w:p>
    <w:p w:rsidR="008A5F9D" w:rsidRDefault="008A5F9D" w:rsidP="008A5F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 może zadecydować o prowadzeniu dialogu z wykorzystaniem wybranych lub wszystkich form komunikacji określonych w ust. 4.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lastRenderedPageBreak/>
        <w:t>§ 8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Informacje objęte tajemicą przedsięiorstwa</w:t>
      </w:r>
    </w:p>
    <w:p w:rsidR="008A5F9D" w:rsidRDefault="008A5F9D" w:rsidP="008A5F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Uczestnicy dialogu technicznego mają prawo zastrzec informacje, które stanowią tajemnicę przedsiębiorstwa w rozumieniu art. 11 ust. 4 ustawy z 16.04.1993 r. o zwalczaniu nieuczciwej konkurencji  (Dz.U. z 2003 r. Nr 153, poz. 1503 ze zm.).</w:t>
      </w:r>
    </w:p>
    <w:p w:rsidR="008A5F9D" w:rsidRDefault="008A5F9D" w:rsidP="008A5F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 nie ujawni infirmacji określonych w ust. 1, jeżeli uczestnik dilogu nie później niż przed przekazaniem informacji zastrzeże ją jako tajemnicę przedsiębiorstwa.</w:t>
      </w:r>
    </w:p>
    <w:p w:rsidR="008A5F9D" w:rsidRDefault="008A5F9D" w:rsidP="008A5F9D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Skuteczność zastrzeżnia, o którym mowa w ust. 1, wymaga zachowania formy pisemnej i wskazania zakresu informacji objętych zastrzeżeniem.</w:t>
      </w:r>
    </w:p>
    <w:p w:rsidR="008A5F9D" w:rsidRDefault="008A5F9D" w:rsidP="008A5F9D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 zastrzega sobie prawo do oceny, czy zastrzeżona informacja spełnia przesłanki tajemnicy przedsiębiorstwa.</w:t>
      </w:r>
    </w:p>
    <w:p w:rsidR="008A5F9D" w:rsidRDefault="008A5F9D" w:rsidP="008A5F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Zastrzeżenie przekazanych informacji jako tajemnicy przedsiebiorstwa powoduje, że zamawiający nie będzie ich mógł wykorzystać na etapie sporządzania dokumentacji do postępowania o udzielenie zamówienia publicznego.</w:t>
      </w:r>
    </w:p>
    <w:p w:rsidR="008A5F9D" w:rsidRDefault="008A5F9D" w:rsidP="008A5F9D">
      <w:pPr>
        <w:pStyle w:val="Akapitzlist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9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Prawa autorskie</w:t>
      </w:r>
    </w:p>
    <w:p w:rsidR="008A5F9D" w:rsidRDefault="008A5F9D" w:rsidP="008A5F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/>
          <w:noProof w:val="0"/>
          <w:sz w:val="24"/>
          <w:szCs w:val="24"/>
          <w:lang w:eastAsia="pl-PL"/>
        </w:rPr>
      </w:pPr>
      <w:r>
        <w:rPr>
          <w:rFonts w:ascii="Palatino Linotype" w:eastAsia="Times New Roman" w:hAnsi="Palatino Linotype"/>
          <w:noProof w:val="0"/>
          <w:sz w:val="24"/>
          <w:szCs w:val="24"/>
          <w:lang w:eastAsia="pl-PL"/>
        </w:rPr>
        <w:t xml:space="preserve">Poprzez udział w dialogu technicznym jego uczestnicy udzielają bezwarunkowej zgody na wykorzystanie przekazywanych informacji na potrzeby przygotowania SIWZ. </w:t>
      </w:r>
    </w:p>
    <w:p w:rsidR="008A5F9D" w:rsidRDefault="008A5F9D" w:rsidP="008A5F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/>
          <w:noProof w:val="0"/>
          <w:sz w:val="24"/>
          <w:szCs w:val="24"/>
          <w:lang w:eastAsia="pl-PL"/>
        </w:rPr>
      </w:pPr>
      <w:r>
        <w:rPr>
          <w:rFonts w:ascii="Palatino Linotype" w:eastAsia="Times New Roman" w:hAnsi="Palatino Linotype"/>
          <w:noProof w:val="0"/>
          <w:sz w:val="24"/>
          <w:szCs w:val="24"/>
          <w:lang w:eastAsia="pl-PL"/>
        </w:rPr>
        <w:t xml:space="preserve">W przypadku przekazania zamawiającemu w toku dialogu technicznego utworów stanowiących przedmiot praw autorskich, uczestnik przekazujący dany utwór udziela bezwarunkowej zgody zamawiającemu, na wykorzystanie utworu w całości lub części na potrzeby przygotowania dokumentacji postępowania, zezwolenia na rozporządzanie i korzystanie z opracowań, jak również zapewnia, że wykorzystanie utworu przez zamawiającego nie będzie naruszało praw osób trzecich. 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10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Zakończenie dialogu</w:t>
      </w:r>
    </w:p>
    <w:p w:rsidR="008A5F9D" w:rsidRDefault="008A5F9D" w:rsidP="008A5F9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Dialog będzie prowadzony do dnia, w którym zamawiający będzie w stanie określić rozwiązanie lub rozwiązania najbardziej spełniające jego potrzeby albo w sytuacji, gdy dalsze prowadzenie dialogu zamawiający uzna za niecelowe.</w:t>
      </w:r>
    </w:p>
    <w:p w:rsidR="008A5F9D" w:rsidRDefault="008A5F9D" w:rsidP="008A5F9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 zastrzega sobie prawo zakończenia dialogu technicznego na każdym jego etapie bez podania przeczyn.</w:t>
      </w:r>
    </w:p>
    <w:p w:rsidR="008A5F9D" w:rsidRDefault="008A5F9D" w:rsidP="008A5F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Po zakończeniu dialogu komisja sporządza informację na temat wyników przeprowadzonego dialogu i przedkłada ją wraz protokołem do zatwierdzenia kierownikowi zamawiającego.</w:t>
      </w:r>
    </w:p>
    <w:p w:rsidR="008A5F9D" w:rsidRDefault="008A5F9D" w:rsidP="008A5F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 xml:space="preserve">Protokół z dialogu technicznego zawiera co najmniej: 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 xml:space="preserve">nazwę zamawiającego, 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opis przedmiotu dialogu,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datę i miejsce ogłoszenia o dialogu,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lastRenderedPageBreak/>
        <w:t>zestawienie uczestników dialogu,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datę i miejsce prowadzenia dialogu,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krótki opis przebiegu dialogu,</w:t>
      </w:r>
    </w:p>
    <w:p w:rsidR="008A5F9D" w:rsidRDefault="008A5F9D" w:rsidP="008A5F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>podpisy komisji</w:t>
      </w:r>
    </w:p>
    <w:p w:rsidR="008A5F9D" w:rsidRDefault="008A5F9D" w:rsidP="008A5F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/>
          <w:noProof w:val="0"/>
          <w:sz w:val="24"/>
          <w:szCs w:val="24"/>
          <w:lang w:eastAsia="pl-PL"/>
        </w:rPr>
      </w:pPr>
      <w:r>
        <w:rPr>
          <w:rFonts w:ascii="Palatino Linotype" w:hAnsi="Palatino Linotype"/>
          <w:noProof w:val="0"/>
          <w:sz w:val="24"/>
          <w:szCs w:val="24"/>
          <w:lang w:eastAsia="pl-PL"/>
        </w:rPr>
        <w:t xml:space="preserve">Protokół przechowuje zamawiający w sposób gwarantujący jego nienaruszalność. </w:t>
      </w:r>
    </w:p>
    <w:p w:rsidR="008A5F9D" w:rsidRDefault="008A5F9D" w:rsidP="008A5F9D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 zakończeniu dialogu zamawiający poinformuje wszystkich uczestników.</w:t>
      </w:r>
    </w:p>
    <w:p w:rsidR="008A5F9D" w:rsidRDefault="008A5F9D" w:rsidP="008A5F9D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Podmiotom, które uczestniczyły w dialogu zostaną zwrócone na ich wniosek wszelkie plany, rysunki, modele, próbki, wzory, programy komputerowe oraz inne podobne materiały.</w:t>
      </w:r>
    </w:p>
    <w:p w:rsidR="008A5F9D" w:rsidRDefault="008A5F9D" w:rsidP="008A5F9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11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Brak środków odwoławczych</w:t>
      </w:r>
    </w:p>
    <w:p w:rsidR="008A5F9D" w:rsidRDefault="008A5F9D" w:rsidP="008A5F9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toku prowadzonego dialogu uczestnikom ani innym podmiotom nie przysługują środki odwoławcze od decyzji zamawiającego w rozumeiniu Pzp. 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§ 12</w:t>
      </w:r>
    </w:p>
    <w:p w:rsidR="008A5F9D" w:rsidRDefault="008A5F9D" w:rsidP="008A5F9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Wejście w życie regulaminu</w:t>
      </w:r>
    </w:p>
    <w:p w:rsidR="008A5F9D" w:rsidRDefault="008A5F9D" w:rsidP="008A5F9D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Regulamin wchodzi w życie z chwilą publikacji na stronie internetowej zamawiającego.</w:t>
      </w:r>
    </w:p>
    <w:p w:rsidR="008A5F9D" w:rsidRDefault="008A5F9D" w:rsidP="008A5F9D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A5F9D" w:rsidRDefault="008A5F9D" w:rsidP="008A5F9D"/>
    <w:p w:rsidR="00D25D5F" w:rsidRDefault="002D55BF"/>
    <w:sectPr w:rsidR="00D25D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BF" w:rsidRDefault="002D55BF" w:rsidP="00A67B86">
      <w:pPr>
        <w:spacing w:after="0" w:line="240" w:lineRule="auto"/>
      </w:pPr>
      <w:r>
        <w:separator/>
      </w:r>
    </w:p>
  </w:endnote>
  <w:endnote w:type="continuationSeparator" w:id="0">
    <w:p w:rsidR="002D55BF" w:rsidRDefault="002D55BF" w:rsidP="00A6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904557"/>
      <w:docPartObj>
        <w:docPartGallery w:val="Page Numbers (Bottom of Page)"/>
        <w:docPartUnique/>
      </w:docPartObj>
    </w:sdtPr>
    <w:sdtEndPr/>
    <w:sdtContent>
      <w:p w:rsidR="00A67B86" w:rsidRDefault="00A67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2B5">
          <w:t>6</w:t>
        </w:r>
        <w:r>
          <w:fldChar w:fldCharType="end"/>
        </w:r>
      </w:p>
    </w:sdtContent>
  </w:sdt>
  <w:p w:rsidR="00A67B86" w:rsidRDefault="00A67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BF" w:rsidRDefault="002D55BF" w:rsidP="00A67B86">
      <w:pPr>
        <w:spacing w:after="0" w:line="240" w:lineRule="auto"/>
      </w:pPr>
      <w:r>
        <w:separator/>
      </w:r>
    </w:p>
  </w:footnote>
  <w:footnote w:type="continuationSeparator" w:id="0">
    <w:p w:rsidR="002D55BF" w:rsidRDefault="002D55BF" w:rsidP="00A6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E660D04"/>
    <w:lvl w:ilvl="0" w:tplc="A6AA5E6C">
      <w:start w:val="1"/>
      <w:numFmt w:val="decimal"/>
      <w:lvlText w:val="%1."/>
      <w:lvlJc w:val="left"/>
      <w:pPr>
        <w:ind w:left="360" w:hanging="360"/>
      </w:pPr>
    </w:lvl>
    <w:lvl w:ilvl="1" w:tplc="DFE8696A">
      <w:start w:val="1"/>
      <w:numFmt w:val="lowerLetter"/>
      <w:lvlText w:val="%2."/>
      <w:lvlJc w:val="left"/>
      <w:pPr>
        <w:ind w:left="1080" w:hanging="360"/>
      </w:pPr>
    </w:lvl>
    <w:lvl w:ilvl="2" w:tplc="834A1C2C">
      <w:start w:val="1"/>
      <w:numFmt w:val="lowerRoman"/>
      <w:lvlText w:val="%3."/>
      <w:lvlJc w:val="right"/>
      <w:pPr>
        <w:ind w:left="1800" w:hanging="180"/>
      </w:pPr>
    </w:lvl>
    <w:lvl w:ilvl="3" w:tplc="1C5AFA4E">
      <w:start w:val="1"/>
      <w:numFmt w:val="decimal"/>
      <w:lvlText w:val="%4."/>
      <w:lvlJc w:val="left"/>
      <w:pPr>
        <w:ind w:left="2520" w:hanging="360"/>
      </w:pPr>
    </w:lvl>
    <w:lvl w:ilvl="4" w:tplc="40E04F84">
      <w:start w:val="1"/>
      <w:numFmt w:val="lowerLetter"/>
      <w:lvlText w:val="%5."/>
      <w:lvlJc w:val="left"/>
      <w:pPr>
        <w:ind w:left="3240" w:hanging="360"/>
      </w:pPr>
    </w:lvl>
    <w:lvl w:ilvl="5" w:tplc="FAB82540">
      <w:start w:val="1"/>
      <w:numFmt w:val="lowerRoman"/>
      <w:lvlText w:val="%6."/>
      <w:lvlJc w:val="right"/>
      <w:pPr>
        <w:ind w:left="3960" w:hanging="180"/>
      </w:pPr>
    </w:lvl>
    <w:lvl w:ilvl="6" w:tplc="888497E4">
      <w:start w:val="1"/>
      <w:numFmt w:val="decimal"/>
      <w:lvlText w:val="%7."/>
      <w:lvlJc w:val="left"/>
      <w:pPr>
        <w:ind w:left="4680" w:hanging="360"/>
      </w:pPr>
    </w:lvl>
    <w:lvl w:ilvl="7" w:tplc="91B65DB0">
      <w:start w:val="1"/>
      <w:numFmt w:val="lowerLetter"/>
      <w:lvlText w:val="%8."/>
      <w:lvlJc w:val="left"/>
      <w:pPr>
        <w:ind w:left="5400" w:hanging="360"/>
      </w:pPr>
    </w:lvl>
    <w:lvl w:ilvl="8" w:tplc="BF3AC04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hybridMultilevel"/>
    <w:tmpl w:val="6652D602"/>
    <w:lvl w:ilvl="0" w:tplc="23A24B22">
      <w:start w:val="1"/>
      <w:numFmt w:val="decimal"/>
      <w:lvlText w:val="%1."/>
      <w:lvlJc w:val="left"/>
      <w:pPr>
        <w:ind w:left="360" w:hanging="360"/>
      </w:pPr>
    </w:lvl>
    <w:lvl w:ilvl="1" w:tplc="D8249BB2">
      <w:start w:val="1"/>
      <w:numFmt w:val="lowerLetter"/>
      <w:lvlText w:val="%2."/>
      <w:lvlJc w:val="left"/>
      <w:pPr>
        <w:ind w:left="1080" w:hanging="360"/>
      </w:pPr>
    </w:lvl>
    <w:lvl w:ilvl="2" w:tplc="8084EB58">
      <w:start w:val="1"/>
      <w:numFmt w:val="lowerRoman"/>
      <w:lvlText w:val="%3."/>
      <w:lvlJc w:val="right"/>
      <w:pPr>
        <w:ind w:left="1800" w:hanging="180"/>
      </w:pPr>
    </w:lvl>
    <w:lvl w:ilvl="3" w:tplc="4176CE00">
      <w:start w:val="1"/>
      <w:numFmt w:val="decimal"/>
      <w:lvlText w:val="%4."/>
      <w:lvlJc w:val="left"/>
      <w:pPr>
        <w:ind w:left="2520" w:hanging="360"/>
      </w:pPr>
    </w:lvl>
    <w:lvl w:ilvl="4" w:tplc="4DB8E852">
      <w:start w:val="1"/>
      <w:numFmt w:val="lowerLetter"/>
      <w:lvlText w:val="%5."/>
      <w:lvlJc w:val="left"/>
      <w:pPr>
        <w:ind w:left="3240" w:hanging="360"/>
      </w:pPr>
    </w:lvl>
    <w:lvl w:ilvl="5" w:tplc="3A309C44">
      <w:start w:val="1"/>
      <w:numFmt w:val="lowerRoman"/>
      <w:lvlText w:val="%6."/>
      <w:lvlJc w:val="right"/>
      <w:pPr>
        <w:ind w:left="3960" w:hanging="180"/>
      </w:pPr>
    </w:lvl>
    <w:lvl w:ilvl="6" w:tplc="44583C88">
      <w:start w:val="1"/>
      <w:numFmt w:val="decimal"/>
      <w:lvlText w:val="%7."/>
      <w:lvlJc w:val="left"/>
      <w:pPr>
        <w:ind w:left="4680" w:hanging="360"/>
      </w:pPr>
    </w:lvl>
    <w:lvl w:ilvl="7" w:tplc="AA90F7BC">
      <w:start w:val="1"/>
      <w:numFmt w:val="lowerLetter"/>
      <w:lvlText w:val="%8."/>
      <w:lvlJc w:val="left"/>
      <w:pPr>
        <w:ind w:left="5400" w:hanging="360"/>
      </w:pPr>
    </w:lvl>
    <w:lvl w:ilvl="8" w:tplc="9BAEFA1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6"/>
    <w:multiLevelType w:val="hybridMultilevel"/>
    <w:tmpl w:val="8CAE5222"/>
    <w:lvl w:ilvl="0" w:tplc="C14C3BC0">
      <w:start w:val="1"/>
      <w:numFmt w:val="decimal"/>
      <w:lvlText w:val="%1."/>
      <w:lvlJc w:val="left"/>
      <w:pPr>
        <w:ind w:left="360" w:hanging="360"/>
      </w:pPr>
    </w:lvl>
    <w:lvl w:ilvl="1" w:tplc="9C1A0370">
      <w:start w:val="1"/>
      <w:numFmt w:val="lowerLetter"/>
      <w:lvlText w:val="%2."/>
      <w:lvlJc w:val="left"/>
      <w:pPr>
        <w:ind w:left="1080" w:hanging="360"/>
      </w:pPr>
    </w:lvl>
    <w:lvl w:ilvl="2" w:tplc="398CFF24">
      <w:start w:val="1"/>
      <w:numFmt w:val="lowerRoman"/>
      <w:lvlText w:val="%3."/>
      <w:lvlJc w:val="right"/>
      <w:pPr>
        <w:ind w:left="1800" w:hanging="180"/>
      </w:pPr>
    </w:lvl>
    <w:lvl w:ilvl="3" w:tplc="C78E3A2E">
      <w:start w:val="1"/>
      <w:numFmt w:val="decimal"/>
      <w:lvlText w:val="%4."/>
      <w:lvlJc w:val="left"/>
      <w:pPr>
        <w:ind w:left="2520" w:hanging="360"/>
      </w:pPr>
    </w:lvl>
    <w:lvl w:ilvl="4" w:tplc="85AEC6C8">
      <w:start w:val="1"/>
      <w:numFmt w:val="lowerLetter"/>
      <w:lvlText w:val="%5."/>
      <w:lvlJc w:val="left"/>
      <w:pPr>
        <w:ind w:left="3240" w:hanging="360"/>
      </w:pPr>
    </w:lvl>
    <w:lvl w:ilvl="5" w:tplc="92F41114">
      <w:start w:val="1"/>
      <w:numFmt w:val="lowerRoman"/>
      <w:lvlText w:val="%6."/>
      <w:lvlJc w:val="right"/>
      <w:pPr>
        <w:ind w:left="3960" w:hanging="180"/>
      </w:pPr>
    </w:lvl>
    <w:lvl w:ilvl="6" w:tplc="8574494C">
      <w:start w:val="1"/>
      <w:numFmt w:val="decimal"/>
      <w:lvlText w:val="%7."/>
      <w:lvlJc w:val="left"/>
      <w:pPr>
        <w:ind w:left="4680" w:hanging="360"/>
      </w:pPr>
    </w:lvl>
    <w:lvl w:ilvl="7" w:tplc="4F32C03A">
      <w:start w:val="1"/>
      <w:numFmt w:val="lowerLetter"/>
      <w:lvlText w:val="%8."/>
      <w:lvlJc w:val="left"/>
      <w:pPr>
        <w:ind w:left="5400" w:hanging="360"/>
      </w:pPr>
    </w:lvl>
    <w:lvl w:ilvl="8" w:tplc="1726777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7"/>
    <w:multiLevelType w:val="hybridMultilevel"/>
    <w:tmpl w:val="47D63C4E"/>
    <w:lvl w:ilvl="0" w:tplc="BB04305C">
      <w:start w:val="1"/>
      <w:numFmt w:val="decimal"/>
      <w:lvlText w:val="%1)"/>
      <w:lvlJc w:val="left"/>
      <w:pPr>
        <w:ind w:left="360" w:hanging="360"/>
      </w:pPr>
    </w:lvl>
    <w:lvl w:ilvl="1" w:tplc="92CE6B4C">
      <w:start w:val="1"/>
      <w:numFmt w:val="lowerLetter"/>
      <w:lvlText w:val="%2."/>
      <w:lvlJc w:val="left"/>
      <w:pPr>
        <w:ind w:left="1080" w:hanging="360"/>
      </w:pPr>
    </w:lvl>
    <w:lvl w:ilvl="2" w:tplc="AC827F5E">
      <w:start w:val="1"/>
      <w:numFmt w:val="lowerRoman"/>
      <w:lvlText w:val="%3."/>
      <w:lvlJc w:val="right"/>
      <w:pPr>
        <w:ind w:left="1800" w:hanging="180"/>
      </w:pPr>
    </w:lvl>
    <w:lvl w:ilvl="3" w:tplc="98EE7854">
      <w:start w:val="1"/>
      <w:numFmt w:val="decimal"/>
      <w:lvlText w:val="%4."/>
      <w:lvlJc w:val="left"/>
      <w:pPr>
        <w:ind w:left="2520" w:hanging="360"/>
      </w:pPr>
    </w:lvl>
    <w:lvl w:ilvl="4" w:tplc="BCB87ED6">
      <w:start w:val="1"/>
      <w:numFmt w:val="lowerLetter"/>
      <w:lvlText w:val="%5."/>
      <w:lvlJc w:val="left"/>
      <w:pPr>
        <w:ind w:left="3240" w:hanging="360"/>
      </w:pPr>
    </w:lvl>
    <w:lvl w:ilvl="5" w:tplc="4BB847A6">
      <w:start w:val="1"/>
      <w:numFmt w:val="lowerRoman"/>
      <w:lvlText w:val="%6."/>
      <w:lvlJc w:val="right"/>
      <w:pPr>
        <w:ind w:left="3960" w:hanging="180"/>
      </w:pPr>
    </w:lvl>
    <w:lvl w:ilvl="6" w:tplc="14F41920">
      <w:start w:val="1"/>
      <w:numFmt w:val="decimal"/>
      <w:lvlText w:val="%7."/>
      <w:lvlJc w:val="left"/>
      <w:pPr>
        <w:ind w:left="4680" w:hanging="360"/>
      </w:pPr>
    </w:lvl>
    <w:lvl w:ilvl="7" w:tplc="2D86E094">
      <w:start w:val="1"/>
      <w:numFmt w:val="lowerLetter"/>
      <w:lvlText w:val="%8."/>
      <w:lvlJc w:val="left"/>
      <w:pPr>
        <w:ind w:left="5400" w:hanging="360"/>
      </w:pPr>
    </w:lvl>
    <w:lvl w:ilvl="8" w:tplc="43A80A1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3F125D"/>
    <w:multiLevelType w:val="hybridMultilevel"/>
    <w:tmpl w:val="4080E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A1132"/>
    <w:multiLevelType w:val="hybridMultilevel"/>
    <w:tmpl w:val="DBC4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E5F"/>
    <w:multiLevelType w:val="hybridMultilevel"/>
    <w:tmpl w:val="74AEA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6EAA"/>
    <w:multiLevelType w:val="hybridMultilevel"/>
    <w:tmpl w:val="604E0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85427A"/>
    <w:multiLevelType w:val="hybridMultilevel"/>
    <w:tmpl w:val="44A60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E2F73"/>
    <w:multiLevelType w:val="hybridMultilevel"/>
    <w:tmpl w:val="2E9EC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20453B"/>
    <w:multiLevelType w:val="hybridMultilevel"/>
    <w:tmpl w:val="218A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E15BF"/>
    <w:multiLevelType w:val="hybridMultilevel"/>
    <w:tmpl w:val="E0803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C17F9E"/>
    <w:multiLevelType w:val="hybridMultilevel"/>
    <w:tmpl w:val="35546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50775"/>
    <w:multiLevelType w:val="hybridMultilevel"/>
    <w:tmpl w:val="6A603FCE"/>
    <w:lvl w:ilvl="0" w:tplc="C14C3BC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98CFF24">
      <w:start w:val="1"/>
      <w:numFmt w:val="lowerRoman"/>
      <w:lvlText w:val="%3."/>
      <w:lvlJc w:val="right"/>
      <w:pPr>
        <w:ind w:left="1800" w:hanging="180"/>
      </w:pPr>
    </w:lvl>
    <w:lvl w:ilvl="3" w:tplc="C78E3A2E">
      <w:start w:val="1"/>
      <w:numFmt w:val="decimal"/>
      <w:lvlText w:val="%4."/>
      <w:lvlJc w:val="left"/>
      <w:pPr>
        <w:ind w:left="2520" w:hanging="360"/>
      </w:pPr>
    </w:lvl>
    <w:lvl w:ilvl="4" w:tplc="85AEC6C8">
      <w:start w:val="1"/>
      <w:numFmt w:val="lowerLetter"/>
      <w:lvlText w:val="%5."/>
      <w:lvlJc w:val="left"/>
      <w:pPr>
        <w:ind w:left="3240" w:hanging="360"/>
      </w:pPr>
    </w:lvl>
    <w:lvl w:ilvl="5" w:tplc="92F41114">
      <w:start w:val="1"/>
      <w:numFmt w:val="lowerRoman"/>
      <w:lvlText w:val="%6."/>
      <w:lvlJc w:val="right"/>
      <w:pPr>
        <w:ind w:left="3960" w:hanging="180"/>
      </w:pPr>
    </w:lvl>
    <w:lvl w:ilvl="6" w:tplc="8574494C">
      <w:start w:val="1"/>
      <w:numFmt w:val="decimal"/>
      <w:lvlText w:val="%7."/>
      <w:lvlJc w:val="left"/>
      <w:pPr>
        <w:ind w:left="4680" w:hanging="360"/>
      </w:pPr>
    </w:lvl>
    <w:lvl w:ilvl="7" w:tplc="4F32C03A">
      <w:start w:val="1"/>
      <w:numFmt w:val="lowerLetter"/>
      <w:lvlText w:val="%8."/>
      <w:lvlJc w:val="left"/>
      <w:pPr>
        <w:ind w:left="5400" w:hanging="360"/>
      </w:pPr>
    </w:lvl>
    <w:lvl w:ilvl="8" w:tplc="1726777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E029EE"/>
    <w:multiLevelType w:val="hybridMultilevel"/>
    <w:tmpl w:val="ED68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D"/>
    <w:rsid w:val="000C0A35"/>
    <w:rsid w:val="002D55BF"/>
    <w:rsid w:val="006A5DF9"/>
    <w:rsid w:val="008A5F9D"/>
    <w:rsid w:val="00943668"/>
    <w:rsid w:val="009C4738"/>
    <w:rsid w:val="00A67B86"/>
    <w:rsid w:val="00E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F9D"/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86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A6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86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F9D"/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86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A6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86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2015-01-16T10:52:00Z</dcterms:created>
  <dcterms:modified xsi:type="dcterms:W3CDTF">2015-01-16T11:15:00Z</dcterms:modified>
</cp:coreProperties>
</file>